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5d50ad4cf49f0" /></Relationships>
</file>

<file path=word/document.xml><?xml version="1.0" encoding="utf-8"?>
<w:document xmlns:r="http://schemas.openxmlformats.org/officeDocument/2006/relationships" xmlns:w="http://schemas.openxmlformats.org/wordprocessingml/2006/main">
  <w:body>
    <w:p>
      <w:pPr>
        <w:pStyle w:val="Title"/>
      </w:pPr>
      <w:r>
        <w:t>Non-admitted patient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02dfd6689eb46c4">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bebcaf6585284795">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05b857b6104f6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c028e5aacc94ecd">
                    <w:r>
                      <w:rPr>
                        <w:rStyle w:val="Hyperlink"/>
                      </w:rPr>
                      <w:t xml:space="preserve">Care type, derived</w:t>
                    </w:r>
                  </w:hyperlink>
                </w:p>
              </w:tc>
              <w:tc>
                <w:tcPr>
                  <w:vAlign w:val="top"/>
                </w:tcPr>
                <w:p>
                  <w:r>
                    <w:t xml:space="preserve">584081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c27b568b5be74a9d">
                    <w:r>
                      <w:rPr>
                        <w:rStyle w:val="Hyperlink"/>
                      </w:rPr>
                      <w:t xml:space="preserve">Group session indicator</w:t>
                    </w:r>
                  </w:hyperlink>
                </w:p>
              </w:tc>
              <w:tc>
                <w:tcPr>
                  <w:vAlign w:val="top"/>
                </w:tcPr>
                <w:p>
                  <w:r>
                    <w:t xml:space="preserve">584085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2323625c434990">
                    <w:r>
                      <w:rPr>
                        <w:rStyle w:val="Hyperlink"/>
                      </w:rPr>
                      <w:t xml:space="preserve">Multiple health care provider indicator</w:t>
                    </w:r>
                  </w:hyperlink>
                </w:p>
              </w:tc>
              <w:tc>
                <w:tcPr>
                  <w:vAlign w:val="top"/>
                </w:tcPr>
                <w:p>
                  <w:r>
                    <w:t xml:space="preserve">584616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d17aef05994466">
                    <w:r>
                      <w:rPr>
                        <w:rStyle w:val="Hyperlink"/>
                      </w:rPr>
                      <w:t xml:space="preserve">Non-admitted service type</w:t>
                    </w:r>
                  </w:hyperlink>
                </w:p>
              </w:tc>
              <w:tc>
                <w:tcPr>
                  <w:vAlign w:val="top"/>
                </w:tcPr>
                <w:p>
                  <w:r>
                    <w:t xml:space="preserve">614374</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de8bb08c9ae94b6d">
                    <w:r>
                      <w:rPr>
                        <w:rStyle w:val="Hyperlink"/>
                      </w:rPr>
                      <w:t xml:space="preserve">Service event date</w:t>
                    </w:r>
                  </w:hyperlink>
                </w:p>
              </w:tc>
              <w:tc>
                <w:tcPr>
                  <w:vAlign w:val="top"/>
                </w:tcPr>
                <w:p>
                  <w:r>
                    <w:t xml:space="preserve">584093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2768f3eac9a4d9d">
                    <w:r>
                      <w:rPr>
                        <w:rStyle w:val="Hyperlink"/>
                      </w:rPr>
                      <w:t xml:space="preserve">Service delivery mode</w:t>
                    </w:r>
                  </w:hyperlink>
                </w:p>
              </w:tc>
              <w:tc>
                <w:tcPr>
                  <w:vAlign w:val="top"/>
                </w:tcPr>
                <w:p>
                  <w:r>
                    <w:t xml:space="preserve">584098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dba7a9af3a540c9">
                    <w:r>
                      <w:rPr>
                        <w:rStyle w:val="Hyperlink"/>
                      </w:rPr>
                      <w:t xml:space="preserve">Service delivery setting</w:t>
                    </w:r>
                  </w:hyperlink>
                </w:p>
              </w:tc>
              <w:tc>
                <w:tcPr>
                  <w:vAlign w:val="top"/>
                </w:tcPr>
                <w:p>
                  <w:r>
                    <w:t xml:space="preserve">584105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2a239d9ee65d4e93">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1fd3a6e013246af">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9049e44f82f44815">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dc52cc8fd63c461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9c01b1ea6f5f4f6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7ef12ad7088480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59493bfa154a8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821e23d6d4c406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bb2b32759f4316">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700509f775c048c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c90a6f0d0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509f775c048ce" /><Relationship Type="http://schemas.openxmlformats.org/officeDocument/2006/relationships/header" Target="/word/header1.xml" Id="R55555672d8f54e60" /><Relationship Type="http://schemas.openxmlformats.org/officeDocument/2006/relationships/settings" Target="/word/settings.xml" Id="Rad083fc6e6024c7a" /><Relationship Type="http://schemas.openxmlformats.org/officeDocument/2006/relationships/styles" Target="/word/styles.xml" Id="Rc41d9c238f314878" /><Relationship Type="http://schemas.openxmlformats.org/officeDocument/2006/relationships/hyperlink" Target="https://meteor-uat.aihw.gov.au/content/553314" TargetMode="External" Id="Ra02dfd6689eb46c4" /><Relationship Type="http://schemas.openxmlformats.org/officeDocument/2006/relationships/hyperlink" Target="https://meteor-uat.aihw.gov.au/content/584333" TargetMode="External" Id="Rbebcaf6585284795" /><Relationship Type="http://schemas.openxmlformats.org/officeDocument/2006/relationships/hyperlink" Target="https://meteor-uat.aihw.gov.au/content/269973" TargetMode="External" Id="R0c05b857b6104f68" /><Relationship Type="http://schemas.openxmlformats.org/officeDocument/2006/relationships/hyperlink" Target="https://meteor-uat.aihw.gov.au/content/584081" TargetMode="External" Id="R7c028e5aacc94ecd" /><Relationship Type="http://schemas.openxmlformats.org/officeDocument/2006/relationships/hyperlink" Target="https://meteor-uat.aihw.gov.au/content/584085" TargetMode="External" Id="Rc27b568b5be74a9d" /><Relationship Type="http://schemas.openxmlformats.org/officeDocument/2006/relationships/hyperlink" Target="https://meteor-uat.aihw.gov.au/content/584616" TargetMode="External" Id="R052323625c434990" /><Relationship Type="http://schemas.openxmlformats.org/officeDocument/2006/relationships/hyperlink" Target="https://meteor-uat.aihw.gov.au/content/614374" TargetMode="External" Id="R55d17aef05994466" /><Relationship Type="http://schemas.openxmlformats.org/officeDocument/2006/relationships/hyperlink" Target="https://meteor-uat.aihw.gov.au/content/584093" TargetMode="External" Id="Rde8bb08c9ae94b6d" /><Relationship Type="http://schemas.openxmlformats.org/officeDocument/2006/relationships/hyperlink" Target="https://meteor-uat.aihw.gov.au/content/584098" TargetMode="External" Id="R22768f3eac9a4d9d" /><Relationship Type="http://schemas.openxmlformats.org/officeDocument/2006/relationships/hyperlink" Target="https://meteor-uat.aihw.gov.au/content/584105" TargetMode="External" Id="R0dba7a9af3a540c9" /><Relationship Type="http://schemas.openxmlformats.org/officeDocument/2006/relationships/hyperlink" Target="https://meteor-uat.aihw.gov.au/content/400713" TargetMode="External" Id="R2a239d9ee65d4e93" /><Relationship Type="http://schemas.openxmlformats.org/officeDocument/2006/relationships/hyperlink" Target="https://meteor-uat.aihw.gov.au/content/400747" TargetMode="External" Id="R01fd3a6e013246af" /><Relationship Type="http://schemas.openxmlformats.org/officeDocument/2006/relationships/hyperlink" Target="https://meteor-uat.aihw.gov.au/content/469909" TargetMode="External" Id="R9049e44f82f44815" /><Relationship Type="http://schemas.openxmlformats.org/officeDocument/2006/relationships/hyperlink" Target="https://meteor-uat.aihw.gov.au/content/459973" TargetMode="External" Id="Rdc52cc8fd63c4616" /><Relationship Type="http://schemas.openxmlformats.org/officeDocument/2006/relationships/hyperlink" Target="https://meteor-uat.aihw.gov.au/content/287007" TargetMode="External" Id="R9c01b1ea6f5f4f6b" /><Relationship Type="http://schemas.openxmlformats.org/officeDocument/2006/relationships/hyperlink" Target="https://meteor-uat.aihw.gov.au/content/602543" TargetMode="External" Id="Ra7ef12ad7088480e" /><Relationship Type="http://schemas.openxmlformats.org/officeDocument/2006/relationships/hyperlink" Target="https://meteor-uat.aihw.gov.au/content/290046" TargetMode="External" Id="R7059493bfa154a85" /><Relationship Type="http://schemas.openxmlformats.org/officeDocument/2006/relationships/hyperlink" Target="https://meteor-uat.aihw.gov.au/content/287316" TargetMode="External" Id="R9821e23d6d4c406e" /><Relationship Type="http://schemas.openxmlformats.org/officeDocument/2006/relationships/hyperlink" Target="https://meteor-uat.aihw.gov.au/content/555463" TargetMode="External" Id="R44bb2b32759f4316" /></Relationships>
</file>

<file path=word/_rels/header1.xml.rels>&#65279;<?xml version="1.0" encoding="utf-8"?><Relationships xmlns="http://schemas.openxmlformats.org/package/2006/relationships"><Relationship Type="http://schemas.openxmlformats.org/officeDocument/2006/relationships/image" Target="/media/image.png" Id="R6afc90a6f0d04caf" /></Relationships>
</file>