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7e232514a44b89" /></Relationships>
</file>

<file path=word/document.xml><?xml version="1.0" encoding="utf-8"?>
<w:document xmlns:r="http://schemas.openxmlformats.org/officeDocument/2006/relationships" xmlns:w="http://schemas.openxmlformats.org/wordprocessingml/2006/main">
  <w:body>
    <w:p>
      <w:pPr>
        <w:pStyle w:val="Title"/>
      </w:pPr>
      <w:r>
        <w:t>Antimicrobial stewardship:  9a-Surgical antibiotic prophylaxis in accordance with guidelines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9a-Surgical antibiotic prophylaxis in accordance with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9a-Surgical antibiotic prophylaxis in accordance with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b8b7bc79d473e">
              <w:r>
                <w:rPr>
                  <w:rStyle w:val="Hyperlink"/>
                  <w:color w:val="244061"/>
                </w:rPr>
                <w:t xml:space="preserve">Health!</w:t>
              </w:r>
            </w:hyperlink>
            <w:r>
              <w:rPr>
                <w:rStyle w:val="row-content"/>
                <w:color w:val="244061"/>
              </w:rPr>
              <w:t xml:space="preserve">, Standard 12/09/2016</w:t>
            </w:r>
          </w:p>
          <w:p>
            <w:pPr>
              <w:spacing w:before="0" w:after="0"/>
            </w:pPr>
            <w:hyperlink w:history="true" r:id="Rbb9fa7af5d2b4656">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for whom surgical prophylactic antibiotics were prescribed in accordance with </w:t>
            </w:r>
            <w:r>
              <w:rPr>
                <w:rStyle w:val="row-content-rich-text"/>
                <w:i/>
              </w:rPr>
              <w:t xml:space="preserve">Therapeutic guidelines: antibiotic</w:t>
            </w:r>
            <w:r>
              <w:rPr>
                <w:rStyle w:val="row-content-rich-text"/>
              </w:rPr>
              <w:t xml:space="preserve"> (Antibiotic Expert Group 2014)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should regularly audit surgical prophylaxis practices to ensure that:</w:t>
            </w:r>
          </w:p>
          <w:p>
            <w:pPr>
              <w:pStyle w:val="ListParagraph"/>
              <w:numPr>
                <w:ilvl w:val="0"/>
                <w:numId w:val="2"/>
              </w:numPr>
            </w:pPr>
            <w:r>
              <w:rPr>
                <w:rStyle w:val="row-content-rich-text"/>
              </w:rPr>
              <w:t xml:space="preserve">surgical patients should receive timely prophylaxis when indicated;</w:t>
            </w:r>
          </w:p>
          <w:p>
            <w:pPr>
              <w:pStyle w:val="ListParagraph"/>
              <w:numPr>
                <w:ilvl w:val="0"/>
                <w:numId w:val="2"/>
              </w:numPr>
            </w:pPr>
            <w:r>
              <w:rPr>
                <w:rStyle w:val="row-content-rich-text"/>
              </w:rPr>
              <w:t xml:space="preserve">correct antibiotics, route of administration and dosage are used;</w:t>
            </w:r>
          </w:p>
          <w:p>
            <w:pPr>
              <w:pStyle w:val="ListParagraph"/>
              <w:numPr>
                <w:ilvl w:val="0"/>
                <w:numId w:val="2"/>
              </w:numPr>
            </w:pPr>
            <w:r>
              <w:rPr>
                <w:rStyle w:val="row-content-rich-text"/>
              </w:rPr>
              <w:t xml:space="preserve">the duration of prophylaxis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c6912f74014115">
              <w:r>
                <w:rPr>
                  <w:rStyle w:val="Hyperlink"/>
                </w:rPr>
                <w:t xml:space="preserve">Clinical care standard indicators: antimicrobial stewardship</w:t>
              </w:r>
            </w:hyperlink>
          </w:p>
          <w:p>
            <w:pPr>
              <w:pStyle w:val="registration-status"/>
              <w:spacing w:before="0" w:after="0"/>
            </w:pPr>
            <w:hyperlink w:history="true" r:id="R3800a5305b8e43f9">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88f9ad0be3d54d9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4f670818654ac5">
              <w:r>
                <w:rPr>
                  <w:rStyle w:val="Hyperlink"/>
                </w:rPr>
                <w:t xml:space="preserve">Surgical prophylaxis</w:t>
              </w:r>
            </w:hyperlink>
          </w:p>
          <w:p>
            <w:pPr>
              <w:pStyle w:val="registration-status"/>
              <w:spacing w:before="0" w:after="0"/>
            </w:pPr>
            <w:hyperlink w:history="true" r:id="R114be0d4193a4a6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p>
          <w:p>
            <w:pPr>
              <w:spacing w:after="160"/>
            </w:pPr>
            <w:r>
              <w:rPr>
                <w:rStyle w:val="row-content-rich-text"/>
              </w:rPr>
              <w:t xml:space="preserve">The numerator and denominator include patients undergoing surgery for which there are documented guidelines for the administration of prophylactic antibiotics, that is, the </w:t>
            </w:r>
            <w:r>
              <w:rPr>
                <w:rStyle w:val="row-content-rich-text"/>
                <w:i/>
              </w:rPr>
              <w:t xml:space="preserve">Therapeutic guidelines: antibiotic</w:t>
            </w:r>
            <w:r>
              <w:rPr>
                <w:rStyle w:val="row-content-rich-text"/>
              </w:rPr>
              <w:t xml:space="preserve"> or locally-endorsed antibiotic prescribing guidelines.</w:t>
            </w:r>
          </w:p>
          <w:p>
            <w:pPr>
              <w:spacing w:after="160"/>
            </w:pPr>
            <w:r>
              <w:rPr>
                <w:rStyle w:val="row-content-rich-text"/>
              </w:rPr>
              <w:t xml:space="preserve">The numerator and denominator exclude patients undergoing surgery for which there are no documented guidelines for the administration of prophylactic antibiotics, that is, the </w:t>
            </w:r>
            <w:r>
              <w:rPr>
                <w:rStyle w:val="row-content-rich-text"/>
                <w:i/>
              </w:rPr>
              <w:t xml:space="preserve">Therapeutic guidelines: antibiotic</w:t>
            </w:r>
            <w:r>
              <w:rPr>
                <w:rStyle w:val="row-content-rich-text"/>
              </w:rPr>
              <w:t xml:space="preserve"> or locally-endorsed antibiotic prescribing guidelines, or where prophylaxis is not indicated due to the patient’s current antibiotic therapy.</w:t>
            </w:r>
          </w:p>
          <w:p>
            <w:pPr>
              <w:spacing w:after="160"/>
            </w:pPr>
            <w:r>
              <w:rPr>
                <w:rStyle w:val="row-content-rich-text"/>
              </w:rPr>
              <w:t xml:space="preserve">For the numerator, 'in accordance' with guidelines means that the choice of antimicrobial is in accordance with guidelines. Timing of dose is dealt with in </w:t>
            </w:r>
            <w:hyperlink w:history="true" r:id="R440a347976a0433d">
              <w:r>
                <w:rPr>
                  <w:rStyle w:val="Hyperlink"/>
                </w:rPr>
                <w:t xml:space="preserve">Antimicrobial stewardship: 9b-Timely administration of prophylactic antibiotics prior to surgery</w:t>
              </w:r>
            </w:hyperlink>
            <w:r>
              <w:rPr>
                <w:rStyle w:val="row-content-rich-text"/>
              </w:rPr>
              <w:t xml:space="preserve">, and duration of antibiotic therapy is dealt with in </w:t>
            </w:r>
            <w:hyperlink w:history="true" r:id="R3e4d7190bffc4f01">
              <w:r>
                <w:rPr>
                  <w:rStyle w:val="Hyperlink"/>
                </w:rPr>
                <w:t xml:space="preserve">Antimicrobial stewardship: 9c-Cessation of prophylactic antibiotics following surgery</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who received prophylactic antibiotics in accordance with </w:t>
            </w:r>
            <w:r>
              <w:rPr>
                <w:rStyle w:val="row-content-rich-text"/>
                <w:i/>
              </w:rPr>
              <w:t xml:space="preserve">Therapeutic guidelines: antibiotic</w:t>
            </w:r>
            <w:r>
              <w:rPr>
                <w:rStyle w:val="row-content-rich-text"/>
              </w:rPr>
              <w:t xml:space="preserve">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for which there are documented guidelines for the administration of prophylactic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Therapeutic guidelines: antibiotic</w:t>
            </w:r>
            <w:r>
              <w:rPr>
                <w:rStyle w:val="row-content-rich-text"/>
              </w:rPr>
              <w:t xml:space="preserve"> provides guidance on administration of prophylactic antibiotics for the following types of surgery:</w:t>
            </w:r>
          </w:p>
          <w:p>
            <w:pPr>
              <w:pStyle w:val="ListParagraph"/>
              <w:numPr>
                <w:ilvl w:val="0"/>
                <w:numId w:val="3"/>
              </w:numPr>
            </w:pPr>
            <w:r>
              <w:rPr>
                <w:rStyle w:val="row-content-rich-text"/>
              </w:rPr>
              <w:t xml:space="preserve">abdominal surgery, including:</w:t>
            </w:r>
            <w:r>
              <w:br/>
            </w:r>
            <w:r>
              <w:rPr>
                <w:rStyle w:val="row-content-rich-text"/>
              </w:rPr>
              <w:t xml:space="preserve">        • colorectal surgery, appendicectomy, and upper gastrointestinal tract or biliary surgery (including laparoscopic approaches)</w:t>
            </w:r>
            <w:r>
              <w:br/>
            </w:r>
            <w:r>
              <w:rPr>
                <w:rStyle w:val="row-content-rich-text"/>
              </w:rPr>
              <w:t xml:space="preserve">        • endoscopic procedures</w:t>
            </w:r>
            <w:r>
              <w:br/>
            </w:r>
            <w:r>
              <w:rPr>
                <w:rStyle w:val="row-content-rich-text"/>
              </w:rPr>
              <w:t xml:space="preserve">        • hernia repair</w:t>
            </w:r>
          </w:p>
          <w:p>
            <w:pPr>
              <w:pStyle w:val="ListParagraph"/>
              <w:numPr>
                <w:ilvl w:val="0"/>
                <w:numId w:val="3"/>
              </w:numPr>
            </w:pPr>
            <w:r>
              <w:rPr>
                <w:rStyle w:val="row-content-rich-text"/>
              </w:rPr>
              <w:t xml:space="preserve">burns, extensive skin loss</w:t>
            </w:r>
          </w:p>
          <w:p>
            <w:pPr>
              <w:pStyle w:val="ListParagraph"/>
              <w:numPr>
                <w:ilvl w:val="0"/>
                <w:numId w:val="3"/>
              </w:numPr>
            </w:pPr>
            <w:r>
              <w:rPr>
                <w:rStyle w:val="row-content-rich-text"/>
              </w:rPr>
              <w:t xml:space="preserve">cardiac surgery</w:t>
            </w:r>
          </w:p>
          <w:p>
            <w:pPr>
              <w:pStyle w:val="ListParagraph"/>
              <w:numPr>
                <w:ilvl w:val="0"/>
                <w:numId w:val="3"/>
              </w:numPr>
            </w:pPr>
            <w:r>
              <w:rPr>
                <w:rStyle w:val="row-content-rich-text"/>
              </w:rPr>
              <w:t xml:space="preserve">head, neck and thoracic surgery</w:t>
            </w:r>
          </w:p>
          <w:p>
            <w:pPr>
              <w:pStyle w:val="ListParagraph"/>
              <w:numPr>
                <w:ilvl w:val="0"/>
                <w:numId w:val="3"/>
              </w:numPr>
            </w:pPr>
            <w:r>
              <w:rPr>
                <w:rStyle w:val="row-content-rich-text"/>
              </w:rPr>
              <w:t xml:space="preserve">lower limb amputation</w:t>
            </w:r>
          </w:p>
          <w:p>
            <w:pPr>
              <w:pStyle w:val="ListParagraph"/>
              <w:numPr>
                <w:ilvl w:val="0"/>
                <w:numId w:val="3"/>
              </w:numPr>
            </w:pPr>
            <w:r>
              <w:rPr>
                <w:rStyle w:val="row-content-rich-text"/>
              </w:rPr>
              <w:t xml:space="preserve">neurosurgery</w:t>
            </w:r>
          </w:p>
          <w:p>
            <w:pPr>
              <w:pStyle w:val="ListParagraph"/>
              <w:numPr>
                <w:ilvl w:val="0"/>
                <w:numId w:val="3"/>
              </w:numPr>
            </w:pPr>
            <w:r>
              <w:rPr>
                <w:rStyle w:val="row-content-rich-text"/>
              </w:rPr>
              <w:t xml:space="preserve">obstetric and gynaecological surgery, including:</w:t>
            </w:r>
            <w:r>
              <w:br/>
            </w:r>
            <w:r>
              <w:rPr>
                <w:rStyle w:val="row-content-rich-text"/>
              </w:rPr>
              <w:t xml:space="preserve">        • hysterectomy and termination of pregnancy</w:t>
            </w:r>
            <w:r>
              <w:br/>
            </w:r>
            <w:r>
              <w:rPr>
                <w:rStyle w:val="row-content-rich-text"/>
              </w:rPr>
              <w:t xml:space="preserve">        • caesarean section</w:t>
            </w:r>
          </w:p>
          <w:p>
            <w:pPr>
              <w:pStyle w:val="ListParagraph"/>
              <w:numPr>
                <w:ilvl w:val="0"/>
                <w:numId w:val="3"/>
              </w:numPr>
            </w:pPr>
            <w:r>
              <w:rPr>
                <w:rStyle w:val="row-content-rich-text"/>
              </w:rPr>
              <w:t xml:space="preserve">orthopaedic surgery</w:t>
            </w:r>
          </w:p>
          <w:p>
            <w:pPr>
              <w:pStyle w:val="ListParagraph"/>
              <w:numPr>
                <w:ilvl w:val="0"/>
                <w:numId w:val="3"/>
              </w:numPr>
            </w:pPr>
            <w:r>
              <w:rPr>
                <w:rStyle w:val="row-content-rich-text"/>
              </w:rPr>
              <w:t xml:space="preserve">urological surgery, including:</w:t>
            </w:r>
            <w:r>
              <w:br/>
            </w:r>
            <w:r>
              <w:rPr>
                <w:rStyle w:val="row-content-rich-text"/>
              </w:rPr>
              <w:t xml:space="preserve">        • prostatectomy</w:t>
            </w:r>
            <w:r>
              <w:br/>
            </w:r>
            <w:r>
              <w:rPr>
                <w:rStyle w:val="row-content-rich-text"/>
              </w:rPr>
              <w:t xml:space="preserve">        • transrectal prostatic biopsy</w:t>
            </w:r>
          </w:p>
          <w:p>
            <w:pPr>
              <w:pStyle w:val="ListParagraph"/>
              <w:numPr>
                <w:ilvl w:val="0"/>
                <w:numId w:val="3"/>
              </w:numPr>
            </w:pPr>
            <w:r>
              <w:rPr>
                <w:rStyle w:val="row-content-rich-text"/>
              </w:rPr>
              <w:t xml:space="preserve">vascular surgery.</w:t>
            </w:r>
          </w:p>
          <w:p>
            <w:pPr>
              <w:spacing w:after="160"/>
            </w:pPr>
            <w:r>
              <w:rPr>
                <w:rStyle w:val="row-content-rich-text"/>
              </w:rPr>
              <w:t xml:space="preserve">Services may select specific procedures to focus on as part of the audit process, based on their own mix of patients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188b7d998d5b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16bb34dd3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b7d998d5b48a5" /><Relationship Type="http://schemas.openxmlformats.org/officeDocument/2006/relationships/header" Target="/word/header1.xml" Id="Ra05aed2af41c4d70" /><Relationship Type="http://schemas.openxmlformats.org/officeDocument/2006/relationships/settings" Target="/word/settings.xml" Id="R7601c83db9904aba" /><Relationship Type="http://schemas.openxmlformats.org/officeDocument/2006/relationships/styles" Target="/word/styles.xml" Id="Rc59e9ff7824244bc" /><Relationship Type="http://schemas.openxmlformats.org/officeDocument/2006/relationships/numbering" Target="/word/numbering.xml" Id="R08920a8022fe4ff3" /><Relationship Type="http://schemas.openxmlformats.org/officeDocument/2006/relationships/hyperlink" Target="https://meteor-uat.aihw.gov.au/RegistrationAuthority/14" TargetMode="External" Id="Rb5ab8b7bc79d473e" /><Relationship Type="http://schemas.openxmlformats.org/officeDocument/2006/relationships/hyperlink" Target="https://meteor-uat.aihw.gov.au/RegistrationAuthority/2" TargetMode="External" Id="Rbb9fa7af5d2b4656" /><Relationship Type="http://schemas.openxmlformats.org/officeDocument/2006/relationships/hyperlink" Target="https://meteor-uat.aihw.gov.au/content/612216" TargetMode="External" Id="R20c6912f74014115" /><Relationship Type="http://schemas.openxmlformats.org/officeDocument/2006/relationships/hyperlink" Target="https://meteor-uat.aihw.gov.au/RegistrationAuthority/2" TargetMode="External" Id="R3800a5305b8e43f9" /><Relationship Type="http://schemas.openxmlformats.org/officeDocument/2006/relationships/hyperlink" Target="https://meteor-uat.aihw.gov.au/RegistrationAuthority/14" TargetMode="External" Id="R88f9ad0be3d54d98" /><Relationship Type="http://schemas.openxmlformats.org/officeDocument/2006/relationships/hyperlink" Target="https://meteor-uat.aihw.gov.au/content/624364" TargetMode="External" Id="R354f670818654ac5" /><Relationship Type="http://schemas.openxmlformats.org/officeDocument/2006/relationships/hyperlink" Target="https://meteor-uat.aihw.gov.au/RegistrationAuthority/14" TargetMode="External" Id="R114be0d4193a4a62" /><Relationship Type="http://schemas.openxmlformats.org/officeDocument/2006/relationships/hyperlink" Target="https://meteor-uat.aihw.gov.au/content/612231" TargetMode="External" Id="R440a347976a0433d" /><Relationship Type="http://schemas.openxmlformats.org/officeDocument/2006/relationships/hyperlink" Target="https://meteor-uat.aihw.gov.au/content/612264" TargetMode="External" Id="R3e4d7190bffc4f01" /></Relationships>
</file>

<file path=word/_rels/header1.xml.rels>&#65279;<?xml version="1.0" encoding="utf-8"?><Relationships xmlns="http://schemas.openxmlformats.org/package/2006/relationships"><Relationship Type="http://schemas.openxmlformats.org/officeDocument/2006/relationships/image" Target="/media/image.png" Id="R8ef16bb34dd347b2" /></Relationships>
</file>