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0e09e17934d8d" /></Relationships>
</file>

<file path=word/document.xml><?xml version="1.0" encoding="utf-8"?>
<w:document xmlns:r="http://schemas.openxmlformats.org/officeDocument/2006/relationships" xmlns:w="http://schemas.openxmlformats.org/wordprocessingml/2006/main">
  <w:body>
    <w:p>
      <w:pPr>
        <w:pStyle w:val="Title"/>
      </w:pPr>
      <w:r>
        <w:t>Antimicrobial stewardship: 7a-Review of patients prescribed broad-spectrum antibiotics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7a-Review of patients prescribed broad-spectrum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7a-Review of patients prescribed broad-spectrum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e48494e3245fe">
              <w:r>
                <w:rPr>
                  <w:rStyle w:val="Hyperlink"/>
                  <w:color w:val="244061"/>
                </w:rPr>
                <w:t xml:space="preserve">Health!</w:t>
              </w:r>
            </w:hyperlink>
            <w:r>
              <w:rPr>
                <w:rStyle w:val="row-content"/>
                <w:color w:val="244061"/>
              </w:rPr>
              <w:t xml:space="preserve">, Standard 12/09/2016</w:t>
            </w:r>
          </w:p>
          <w:p>
            <w:pPr>
              <w:spacing w:before="0" w:after="0"/>
            </w:pPr>
            <w:hyperlink w:history="true" r:id="R96d35ac757a540dd">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who were prescribed a broad-spectrum antibiotic and for whom a medical review is documented within 48 hours from the first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Unnecessary continuation of broad-spectrum antibiotics is associated with antimicrobial resistance.</w:t>
            </w:r>
          </w:p>
          <w:p>
            <w:pPr/>
            <w:r>
              <w:rPr>
                <w:rStyle w:val="row-content-rich-text"/>
              </w:rPr>
              <w:t xml:space="preserve">Culture results, including identification and antibiotic susceptibility test results, are usually available 24–48 hours after specimen collection. The results of these tests should be used to reassess the appropriateness of the initial therapy prescribed, along with the patient’s clinical progress and other investigation results (ACSQHC 2014a).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3bbbe5ef094f23">
              <w:r>
                <w:rPr>
                  <w:rStyle w:val="Hyperlink"/>
                </w:rPr>
                <w:t xml:space="preserve">Clinical care standard indicators: antimicrobial stewardship</w:t>
              </w:r>
            </w:hyperlink>
          </w:p>
          <w:p>
            <w:pPr>
              <w:pStyle w:val="registration-status"/>
              <w:spacing w:before="0" w:after="0"/>
            </w:pPr>
            <w:hyperlink w:history="true" r:id="Rba664d9ecc8044c1">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149e04bd0d45459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9d607618ed4f1a">
              <w:r>
                <w:rPr>
                  <w:rStyle w:val="Hyperlink"/>
                </w:rPr>
                <w:t xml:space="preserve">Use of broad-spectrum antibiotics</w:t>
              </w:r>
            </w:hyperlink>
          </w:p>
          <w:p>
            <w:pPr>
              <w:pStyle w:val="registration-status"/>
              <w:spacing w:before="0" w:after="0"/>
            </w:pPr>
            <w:hyperlink w:history="true" r:id="Rba4f559c72774bb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‘reviewed’ means that the clinician initials the microbiology result report (or in an electronic environment, there is evidence that the clinician has reviewed the result), and a treatment decision is documented within 48 hours from the first prescription. For the purposes of this indicator, ‘documented’ means there is a note about the treatment decision in the patient's prescription or medical record, which may be paper-based or electronic.</w:t>
            </w:r>
          </w:p>
          <w:p>
            <w:pPr>
              <w:spacing w:after="160"/>
            </w:pPr>
            <w:r>
              <w:rPr>
                <w:rStyle w:val="row-content-rich-text"/>
              </w:rPr>
              <w:t xml:space="preserve">For the numerator and denominator ‘broad-spectrum antibiotics’ refers to antibiotics that are active against a wide range of organisms (ACSQHC 2014b) and includes one or more of: meropenem, vancomycin, ciprofloxacin, ceftriaxone or piperacillin and tazobactam.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 and for whom the microbiology results were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for whom one or more broad-spectrum antibiotics were prescribed.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2014a. Action 4: Review and assess antibiotics at 48 hours–Fact sheet. Sydney: ACSQHC.</w:t>
            </w:r>
          </w:p>
          <w:p>
            <w:pPr/>
            <w:r>
              <w:rPr>
                <w:rStyle w:val="row-content-rich-text"/>
              </w:rPr>
              <w:t xml:space="preserve">ACSQHC (Australian Commission on Safety and Quality in Health Care) 2014b. Antimicrobial Stewardship Clinical Care Standard. Sydney: ACSQHC.</w:t>
            </w:r>
          </w:p>
        </w:tc>
      </w:tr>
    </w:tbl>
    <w:p>
      <w:r>
        <w:br/>
      </w:r>
    </w:p>
    <w:sectPr>
      <w:footerReference xmlns:r="http://schemas.openxmlformats.org/officeDocument/2006/relationships" w:type="default" r:id="R81825428c78d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d08ed7a5c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25428c78d4c3c" /><Relationship Type="http://schemas.openxmlformats.org/officeDocument/2006/relationships/header" Target="/word/header1.xml" Id="R48a044c2d6dd4447" /><Relationship Type="http://schemas.openxmlformats.org/officeDocument/2006/relationships/settings" Target="/word/settings.xml" Id="R4469ba3ef4104d1b" /><Relationship Type="http://schemas.openxmlformats.org/officeDocument/2006/relationships/styles" Target="/word/styles.xml" Id="R6ab6a3255dcc4cb6" /><Relationship Type="http://schemas.openxmlformats.org/officeDocument/2006/relationships/hyperlink" Target="https://meteor-uat.aihw.gov.au/RegistrationAuthority/14" TargetMode="External" Id="R491e48494e3245fe" /><Relationship Type="http://schemas.openxmlformats.org/officeDocument/2006/relationships/hyperlink" Target="https://meteor-uat.aihw.gov.au/RegistrationAuthority/2" TargetMode="External" Id="R96d35ac757a540dd" /><Relationship Type="http://schemas.openxmlformats.org/officeDocument/2006/relationships/hyperlink" Target="https://meteor-uat.aihw.gov.au/content/612216" TargetMode="External" Id="R153bbbe5ef094f23" /><Relationship Type="http://schemas.openxmlformats.org/officeDocument/2006/relationships/hyperlink" Target="https://meteor-uat.aihw.gov.au/RegistrationAuthority/2" TargetMode="External" Id="Rba664d9ecc8044c1" /><Relationship Type="http://schemas.openxmlformats.org/officeDocument/2006/relationships/hyperlink" Target="https://meteor-uat.aihw.gov.au/RegistrationAuthority/14" TargetMode="External" Id="R149e04bd0d45459a" /><Relationship Type="http://schemas.openxmlformats.org/officeDocument/2006/relationships/hyperlink" Target="https://meteor-uat.aihw.gov.au/content/624357" TargetMode="External" Id="R529d607618ed4f1a" /><Relationship Type="http://schemas.openxmlformats.org/officeDocument/2006/relationships/hyperlink" Target="https://meteor-uat.aihw.gov.au/RegistrationAuthority/14" TargetMode="External" Id="Rba4f559c72774bb5" /></Relationships>
</file>

<file path=word/_rels/header1.xml.rels>&#65279;<?xml version="1.0" encoding="utf-8"?><Relationships xmlns="http://schemas.openxmlformats.org/package/2006/relationships"><Relationship Type="http://schemas.openxmlformats.org/officeDocument/2006/relationships/image" Target="/media/image.png" Id="R4abd08ed7a5c4c7f" /></Relationships>
</file>