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3bf1e648f542b1" /></Relationships>
</file>

<file path=word/document.xml><?xml version="1.0" encoding="utf-8"?>
<w:document xmlns:r="http://schemas.openxmlformats.org/officeDocument/2006/relationships" xmlns:w="http://schemas.openxmlformats.org/wordprocessingml/2006/main">
  <w:body>
    <w:p>
      <w:pPr>
        <w:pStyle w:val="Title"/>
      </w:pPr>
      <w:r>
        <w:t>3.7 Number of myringotomy admissions to hospital per 100,000 people aged 17 years and under,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​3.7 Number of myringotomy admissions to hospital per 100,000 people aged 17 years and under,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Myringotomy hospital admissions 17 years and under,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96ddc6bfa743da">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1dbe2fe577d2484b">
              <w:r>
                <w:rPr>
                  <w:rStyle w:val="Hyperlink"/>
                  <w:color w:val="244061"/>
                </w:rPr>
                <w:t xml:space="preserve">Australian Commission on Safety and Quality in Health Care</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myringotomy admissions to hospital per 100,000 people aged 17 years and under,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c4dab00ef5948e8">
              <w:r>
                <w:rPr>
                  <w:rStyle w:val="Hyperlink"/>
                </w:rPr>
                <w:t xml:space="preserve">Australian Atlas of Healthcare Variation </w:t>
              </w:r>
            </w:hyperlink>
          </w:p>
          <w:p>
            <w:pPr>
              <w:pStyle w:val="registration-status"/>
              <w:spacing w:before="0" w:after="0"/>
            </w:pPr>
            <w:hyperlink w:history="true" r:id="Ra5c9f354f9324364">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fa1c48cbbaaf48b6">
              <w:r>
                <w:rPr>
                  <w:rStyle w:val="Hyperlink"/>
                  <w:color w:val="244061"/>
                </w:rPr>
                <w:t xml:space="preserve">Australian Commission on Safety and Quality in Health Care</w:t>
              </w:r>
            </w:hyperlink>
            <w:r>
              <w:rPr>
                <w:rStyle w:val="row-content"/>
                <w:color w:val="244061"/>
              </w:rPr>
              <w:t xml:space="preserve">, Standard 23/11/2016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The postcode is that which is provided by the patient to the hospital at which they are admitted.</w:t>
            </w:r>
          </w:p>
          <w:p>
            <w:pPr>
              <w:spacing w:after="160"/>
            </w:pPr>
            <w:r>
              <w:rPr>
                <w:rStyle w:val="row-content-rich-text"/>
              </w:rPr>
              <w:t xml:space="preserve">SA3s where the total population was less than 2,500 or where the population of people aged 17 years and under was less than 200 are excluded from analysis.</w:t>
            </w:r>
          </w:p>
          <w:p>
            <w:pPr>
              <w:spacing w:after="160"/>
            </w:pPr>
            <w:r>
              <w:rPr>
                <w:rStyle w:val="row-content-rich-text"/>
              </w:rPr>
              <w:t xml:space="preserve">Suppression protocol for calculating age-standardised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Numerator</w:t>
                  </w:r>
                </w:p>
              </w:tc>
              <w:tc>
                <w:tcPr>
                  <w:tcW w:w="4000" w:type="pct"/>
                  <w:vAlign w:val="top"/>
                </w:tcPr>
                <w:p>
                  <w:r>
                    <w:t xml:space="preserve">Total admissions less than 20 (unrounded)</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r>
              <w:t xml:space="preserve">The following age groups were used for calculating age standardised rates: 0-4, 5-9, 10-14, 15-17.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65e5b47b5062433c">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myringotomy admissions to hospital for people aged 17 years and under in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72c21ec71d744e0">
              <w:r>
                <w:rPr>
                  <w:rStyle w:val="Hyperlink"/>
                </w:rPr>
                <w:t xml:space="preserve">Hospital service—care type, code N[N].N</w:t>
              </w:r>
            </w:hyperlink>
          </w:p>
          <w:p>
            <w:r>
              <w:rPr>
                <w:rStyle w:val="row-content"/>
                <w:b/>
              </w:rPr>
              <w:t xml:space="preserve">NMDS / DSS</w:t>
            </w:r>
          </w:p>
          <w:p>
            <w:hyperlink w:history="true" r:id="R27eecc81f3da44da">
              <w:r>
                <w:rPr>
                  <w:rStyle w:val="Hyperlink"/>
                </w:rPr>
                <w:t xml:space="preserve">Admitted patient care NMDS 2012-13</w:t>
              </w:r>
            </w:hyperlink>
          </w:p>
          <w:p>
            <w:r>
              <w:rPr>
                <w:rStyle w:val="row-content"/>
                <w:b/>
              </w:rPr>
              <w:t xml:space="preserve">Guide for use</w:t>
            </w:r>
          </w:p>
          <w:p>
            <w:r>
              <w:rPr>
                <w:rStyle w:val="row-content"/>
              </w:rPr>
              <w:t xml:space="preserve">Include all care types except:</w:t>
            </w:r>
          </w:p>
          <w:p>
            <w:r>
              <w:rPr>
                <w:rStyle w:val="row-content"/>
              </w:rPr>
              <w:t xml:space="preserve"> </w:t>
            </w:r>
          </w:p>
          <w:tbl>
            <w:tblPr>
              <w:tblStyle w:val="TableGrid"/>
              <w:tblW w:w="5000" w:type="pct"/>
              <w:tblLayout w:type="autofit"/>
            </w:tblPr>
            <w:tblGrid>
              <w:gridCol/>
              <w:gridCol/>
            </w:tblGrid>
            <w:tr>
              <w:trPr/>
              <w:tc>
                <w:tcPr>
                  <w:tcW w:w="1100" w:type="pct"/>
                  <w:vAlign w:val="top"/>
                </w:tcPr>
                <w:p>
                  <w:r>
                    <w:rPr>
                      <w:rStyle w:val="row-content"/>
                    </w:rPr>
                    <w:t xml:space="preserve"> </w:t>
                  </w:r>
                  <w:r>
                    <w:rPr>
                      <w:rStyle w:val="row-content"/>
                      <w:b/>
                    </w:rPr>
                    <w:t xml:space="preserve">Code </w:t>
                  </w:r>
                </w:p>
              </w:tc>
              <w:tc>
                <w:tcPr>
                  <w:tcW w:w="3850" w:type="pct"/>
                  <w:vAlign w:val="top"/>
                </w:tcPr>
                <w:p>
                  <w:r>
                    <w:rPr>
                      <w:b/>
                    </w:rPr>
                    <w:t xml:space="preserve">Description</w:t>
                  </w:r>
                </w:p>
              </w:tc>
            </w:tr>
            <w:tr>
              <w:trPr/>
              <w:tc>
                <w:tcPr>
                  <w:tcW w:w="1100" w:type="pct"/>
                  <w:vAlign w:val="top"/>
                </w:tcPr>
                <w:p>
                  <w:r>
                    <w:t xml:space="preserve">07.3</w:t>
                  </w:r>
                </w:p>
              </w:tc>
              <w:tc>
                <w:tcPr>
                  <w:tcW w:w="3850" w:type="pct"/>
                  <w:vAlign w:val="top"/>
                </w:tcPr>
                <w:p>
                  <w:r>
                    <w:t xml:space="preserve">Unqualified newborn</w:t>
                  </w:r>
                </w:p>
              </w:tc>
            </w:tr>
            <w:tr>
              <w:trPr/>
              <w:tc>
                <w:tcPr>
                  <w:tcW w:w="1100" w:type="pct"/>
                  <w:vAlign w:val="top"/>
                </w:tcPr>
                <w:p>
                  <w:r>
                    <w:t xml:space="preserve">10.0</w:t>
                  </w:r>
                </w:p>
              </w:tc>
              <w:tc>
                <w:tcPr>
                  <w:tcW w:w="3850" w:type="pct"/>
                  <w:vAlign w:val="top"/>
                </w:tcPr>
                <w:p>
                  <w:r>
                    <w:t xml:space="preserve">Hospital border</w:t>
                  </w:r>
                </w:p>
              </w:tc>
            </w:tr>
            <w:tr>
              <w:trPr/>
              <w:tc>
                <w:tcPr>
                  <w:tcW w:w="1100" w:type="pct"/>
                  <w:vAlign w:val="top"/>
                </w:tcPr>
                <w:p>
                  <w:r>
                    <w:t xml:space="preserve">09.0</w:t>
                  </w:r>
                </w:p>
              </w:tc>
              <w:tc>
                <w:tcPr>
                  <w:tcW w:w="3850" w:type="pct"/>
                  <w:vAlign w:val="top"/>
                </w:tcPr>
                <w:p>
                  <w:r>
                    <w:t xml:space="preserve">Organ procurement</w:t>
                  </w:r>
                </w:p>
              </w:tc>
            </w:tr>
          </w:tbl>
          <w:p>
            <w:r>
              <w:rPr>
                <w:b/>
                <w:color w:val="000000"/>
              </w:rPr>
              <w:t xml:space="preserve">Data Element / Data Set</w:t>
            </w:r>
          </w:p>
          <w:p>
            <w:hyperlink w:history="true" r:id="Rf89953639e06404a">
              <w:r>
                <w:rPr>
                  <w:rStyle w:val="Hyperlink"/>
                </w:rPr>
                <w:t xml:space="preserve">Person—date of birth, DDMMYYYY</w:t>
              </w:r>
            </w:hyperlink>
          </w:p>
          <w:p>
            <w:r>
              <w:rPr>
                <w:b/>
              </w:rPr>
              <w:t xml:space="preserve">NMDS / DSS</w:t>
            </w:r>
          </w:p>
          <w:p>
            <w:hyperlink w:history="true" r:id="R07b04d573d49476f">
              <w:r>
                <w:rPr>
                  <w:rStyle w:val="Hyperlink"/>
                </w:rPr>
                <w:t xml:space="preserve">Admitted patient care NMDS 2012-13</w:t>
              </w:r>
            </w:hyperlink>
          </w:p>
          <w:p>
            <w:r>
              <w:rPr>
                <w:b/>
              </w:rPr>
              <w:t xml:space="preserve">Guide for use</w:t>
            </w:r>
          </w:p>
          <w:p>
            <w:r>
              <w:t xml:space="preserve">Data source type: Administrative by-product data</w:t>
            </w:r>
          </w:p>
          <w:p>
            <w:r>
              <w:t xml:space="preserve">Used to calculate age.</w:t>
            </w:r>
          </w:p>
          <w:p>
            <w:r>
              <w:t xml:space="preserve"> </w:t>
            </w:r>
          </w:p>
          <w:p>
            <w:r>
              <w:rPr>
                <w:b/>
                <w:color w:val="000000"/>
              </w:rPr>
              <w:t xml:space="preserve">Data Element / Data Set</w:t>
            </w:r>
          </w:p>
          <w:p>
            <w:hyperlink w:history="true" r:id="R3e521fdfd85b41cc">
              <w:r>
                <w:rPr>
                  <w:rStyle w:val="Hyperlink"/>
                </w:rPr>
                <w:t xml:space="preserve">Episode of admitted patient care—procedure, code (ACHI 7th edn) NNNNN-NN</w:t>
              </w:r>
            </w:hyperlink>
          </w:p>
          <w:p>
            <w:r>
              <w:rPr>
                <w:b/>
              </w:rPr>
              <w:t xml:space="preserve">NMDS / DSS</w:t>
            </w:r>
          </w:p>
          <w:p>
            <w:hyperlink w:history="true" r:id="Rabf8478171e248c0">
              <w:r>
                <w:rPr>
                  <w:rStyle w:val="Hyperlink"/>
                </w:rPr>
                <w:t xml:space="preserve">Admitted patient care NMDS 2012-13</w:t>
              </w:r>
            </w:hyperlink>
          </w:p>
          <w:p>
            <w:r>
              <w:rPr>
                <w:b/>
              </w:rPr>
              <w:t xml:space="preserve">Guide for use</w:t>
            </w:r>
          </w:p>
          <w:p>
            <w:r>
              <w:rPr>
                <w:b/>
              </w:rPr>
              <w:t xml:space="preserve">Inclusion procedure codes and description.</w:t>
            </w:r>
          </w:p>
          <w:p>
            <w:r>
              <w:t xml:space="preserve"> </w:t>
            </w:r>
          </w:p>
          <w:tbl>
            <w:tblPr>
              <w:tblStyle w:val="TableGrid"/>
              <w:tblW w:w="5000" w:type="pct"/>
              <w:tblLayout w:type="autofit"/>
            </w:tblPr>
            <w:tblGrid>
              <w:gridCol/>
              <w:gridCol/>
            </w:tblGrid>
            <w:tr>
              <w:trPr/>
              <w:tc>
                <w:tcPr>
                  <w:tcW w:w="1350" w:type="pct"/>
                  <w:vAlign w:val="top"/>
                </w:tcPr>
                <w:p>
                  <w:r>
                    <w:rPr>
                      <w:b/>
                    </w:rPr>
                    <w:t xml:space="preserve">ACHI (7th edn) code</w:t>
                  </w:r>
                </w:p>
              </w:tc>
              <w:tc>
                <w:tcPr>
                  <w:tcW w:w="3600" w:type="pct"/>
                  <w:vAlign w:val="top"/>
                </w:tcPr>
                <w:p>
                  <w:r>
                    <w:rPr>
                      <w:b/>
                    </w:rPr>
                    <w:t xml:space="preserve">Description</w:t>
                  </w:r>
                </w:p>
              </w:tc>
            </w:tr>
            <w:tr>
              <w:trPr/>
              <w:tc>
                <w:tcPr>
                  <w:tcW w:w="1350" w:type="pct"/>
                  <w:vAlign w:val="top"/>
                </w:tcPr>
                <w:p>
                  <w:r>
                    <w:t xml:space="preserve">41626.00</w:t>
                  </w:r>
                </w:p>
              </w:tc>
              <w:tc>
                <w:tcPr>
                  <w:tcW w:w="3600" w:type="pct"/>
                  <w:vAlign w:val="top"/>
                </w:tcPr>
                <w:p>
                  <w:r>
                    <w:t xml:space="preserve">Myringotomy unilateral</w:t>
                  </w:r>
                </w:p>
              </w:tc>
            </w:tr>
            <w:tr>
              <w:trPr/>
              <w:tc>
                <w:tcPr>
                  <w:tcW w:w="1350" w:type="pct"/>
                  <w:vAlign w:val="top"/>
                </w:tcPr>
                <w:p>
                  <w:r>
                    <w:t xml:space="preserve">41626.01</w:t>
                  </w:r>
                </w:p>
              </w:tc>
              <w:tc>
                <w:tcPr>
                  <w:tcW w:w="3600" w:type="pct"/>
                  <w:vAlign w:val="top"/>
                </w:tcPr>
                <w:p>
                  <w:r>
                    <w:t xml:space="preserve">Myringotomy bilateral</w:t>
                  </w:r>
                </w:p>
              </w:tc>
            </w:tr>
            <w:tr>
              <w:trPr/>
              <w:tc>
                <w:tcPr>
                  <w:tcW w:w="1350" w:type="pct"/>
                  <w:vAlign w:val="top"/>
                </w:tcPr>
                <w:p>
                  <w:r>
                    <w:t xml:space="preserve">41632.00</w:t>
                  </w:r>
                </w:p>
              </w:tc>
              <w:tc>
                <w:tcPr>
                  <w:tcW w:w="3600" w:type="pct"/>
                  <w:vAlign w:val="top"/>
                </w:tcPr>
                <w:p>
                  <w:r>
                    <w:t xml:space="preserve">Myringotomy insertion of tube, unilateral</w:t>
                  </w:r>
                </w:p>
              </w:tc>
            </w:tr>
            <w:tr>
              <w:trPr/>
              <w:tc>
                <w:tcPr>
                  <w:tcW w:w="1350" w:type="pct"/>
                  <w:vAlign w:val="top"/>
                </w:tcPr>
                <w:p>
                  <w:r>
                    <w:t xml:space="preserve">41632.01</w:t>
                  </w:r>
                </w:p>
              </w:tc>
              <w:tc>
                <w:tcPr>
                  <w:tcW w:w="3600" w:type="pct"/>
                  <w:vAlign w:val="top"/>
                </w:tcPr>
                <w:p>
                  <w:r>
                    <w:t xml:space="preserve">Myringotomy insertion of tube, bilateral</w:t>
                  </w:r>
                </w:p>
              </w:tc>
            </w:tr>
          </w:tbl>
          <w:p>
            <w: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17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1716804a9c84e00">
              <w:r>
                <w:rPr>
                  <w:rStyle w:val="Hyperlink"/>
                </w:rPr>
                <w:t xml:space="preserve">Person—estimated resident population of Australia, total people N[N(7)]</w:t>
              </w:r>
            </w:hyperlink>
          </w:p>
          <w:p>
            <w:r>
              <w:rPr>
                <w:rStyle w:val="row-content"/>
                <w:b/>
              </w:rPr>
              <w:t xml:space="preserve">Data Source</w:t>
            </w:r>
          </w:p>
          <w:p>
            <w:hyperlink w:history="true" r:id="Ra6ec7d6b7baf4738">
              <w:r>
                <w:rPr>
                  <w:rStyle w:val="Hyperlink"/>
                </w:rPr>
                <w:t xml:space="preserve">ABS Estimated resident population (total population)</w:t>
              </w:r>
            </w:hyperlink>
          </w:p>
          <w:p>
            <w:r>
              <w:rPr>
                <w:rStyle w:val="row-content"/>
                <w:b/>
              </w:rPr>
              <w:t xml:space="preserve">Guide for use</w:t>
            </w:r>
          </w:p>
          <w:p>
            <w:r>
              <w:rPr>
                <w:rStyle w:val="row-content"/>
              </w:rPr>
              <w:t xml:space="preserve">ABS Estimated resident population as at June 2001</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2872d1e0840946aa">
              <w:r>
                <w:rPr>
                  <w:rStyle w:val="Hyperlink"/>
                </w:rPr>
                <w:t xml:space="preserve">Postcode—Australian (person)</w:t>
              </w:r>
            </w:hyperlink>
            <w:r>
              <w:rPr>
                <w:rStyle w:val="row-content-rich-text"/>
              </w:rPr>
              <w:t xml:space="preserve">:</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8005d18bb6d4927">
              <w:r>
                <w:rPr>
                  <w:rStyle w:val="Hyperlink"/>
                </w:rPr>
                <w:t xml:space="preserve">Address—Australian postcode, Australian postcode code (Postcode datafile) {NNNN}</w:t>
              </w:r>
            </w:hyperlink>
          </w:p>
          <w:p>
            <w:r>
              <w:rPr>
                <w:rStyle w:val="row-content"/>
                <w:b/>
              </w:rPr>
              <w:t xml:space="preserve">Data Source</w:t>
            </w:r>
          </w:p>
          <w:p>
            <w:hyperlink w:history="true" r:id="Re7cf7d597f85459a">
              <w:r>
                <w:rPr>
                  <w:rStyle w:val="Hyperlink"/>
                </w:rPr>
                <w:t xml:space="preserve">National Hospital Morbidity Database (NHMD)</w:t>
              </w:r>
            </w:hyperlink>
          </w:p>
          <w:p>
            <w:r>
              <w:rPr>
                <w:rStyle w:val="row-content"/>
                <w:b/>
              </w:rPr>
              <w:t xml:space="preserve">Guide for use</w:t>
            </w:r>
          </w:p>
          <w:p>
            <w:r>
              <w:rPr>
                <w:rStyle w:val="row-content"/>
              </w:rPr>
              <w:t xml:space="preserve">Postcode is that which is provided by the patient to the hospital at which they are admitted.</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07c99c6337ec46f3">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45748d77c0d4d7a">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bb72bfefee0f4a17">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1ee787a12fa45c1">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c1abb875902e438d">
              <w:r>
                <w:rPr>
                  <w:rStyle w:val="Hyperlink"/>
                </w:rPr>
                <w:t xml:space="preserve">http://www.safetyandquality.gov.au/wp-content/uploads/2014/05/</w:t>
              </w:r>
              <w:r>
                <w:br/>
              </w:r>
              <w:r>
                <w:rPr>
                  <w:rStyle w:val="row-content-rich-text"/>
                </w:rPr>
                <w:t xml:space="preserve">Exploring-Healthcare-Variation-in-Australia-Analyses-Resulting-from-an-OECD-Study.pdf</w:t>
              </w:r>
            </w:hyperlink>
          </w:p>
        </w:tc>
      </w:tr>
    </w:tbl>
    <w:p>
      <w:r>
        <w:br/>
      </w:r>
    </w:p>
    <w:sectPr>
      <w:footerReference xmlns:r="http://schemas.openxmlformats.org/officeDocument/2006/relationships" w:type="default" r:id="R1a0b8bd2906e48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612121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b116ec374642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0b8bd2906e481e" /><Relationship Type="http://schemas.openxmlformats.org/officeDocument/2006/relationships/header" Target="/word/header1.xml" Id="R612cc1135cae4944" /><Relationship Type="http://schemas.openxmlformats.org/officeDocument/2006/relationships/settings" Target="/word/settings.xml" Id="R554a46001c134506" /><Relationship Type="http://schemas.openxmlformats.org/officeDocument/2006/relationships/styles" Target="/word/styles.xml" Id="Rbd7bb32fef1d400e" /><Relationship Type="http://schemas.openxmlformats.org/officeDocument/2006/relationships/numbering" Target="/word/numbering.xml" Id="Re1c5f7b97d984358" /><Relationship Type="http://schemas.openxmlformats.org/officeDocument/2006/relationships/hyperlink" Target="https://meteor-uat.aihw.gov.au/RegistrationAuthority/10" TargetMode="External" Id="Rc896ddc6bfa743da" /><Relationship Type="http://schemas.openxmlformats.org/officeDocument/2006/relationships/hyperlink" Target="https://meteor-uat.aihw.gov.au/RegistrationAuthority/2" TargetMode="External" Id="R1dbe2fe577d2484b" /><Relationship Type="http://schemas.openxmlformats.org/officeDocument/2006/relationships/hyperlink" Target="https://meteor-uat.aihw.gov.au/content/623427" TargetMode="External" Id="R7c4dab00ef5948e8" /><Relationship Type="http://schemas.openxmlformats.org/officeDocument/2006/relationships/hyperlink" Target="https://meteor-uat.aihw.gov.au/RegistrationAuthority/10" TargetMode="External" Id="Ra5c9f354f9324364" /><Relationship Type="http://schemas.openxmlformats.org/officeDocument/2006/relationships/hyperlink" Target="https://meteor-uat.aihw.gov.au/RegistrationAuthority/2" TargetMode="External" Id="Rfa1c48cbbaaf48b6" /><Relationship Type="http://schemas.openxmlformats.org/officeDocument/2006/relationships/hyperlink" Target="https://meteor-uat.aihw.gov.au/content/327276" TargetMode="External" Id="R65e5b47b5062433c" /><Relationship Type="http://schemas.openxmlformats.org/officeDocument/2006/relationships/hyperlink" Target="https://meteor-uat.aihw.gov.au/content/270174" TargetMode="External" Id="R372c21ec71d744e0" /><Relationship Type="http://schemas.openxmlformats.org/officeDocument/2006/relationships/hyperlink" Target="https://meteor-uat.aihw.gov.au/content/466132" TargetMode="External" Id="R27eecc81f3da44da" /><Relationship Type="http://schemas.openxmlformats.org/officeDocument/2006/relationships/hyperlink" Target="https://meteor-uat.aihw.gov.au/content/287007" TargetMode="External" Id="Rf89953639e06404a" /><Relationship Type="http://schemas.openxmlformats.org/officeDocument/2006/relationships/hyperlink" Target="https://meteor-uat.aihw.gov.au/content/466132" TargetMode="External" Id="R07b04d573d49476f" /><Relationship Type="http://schemas.openxmlformats.org/officeDocument/2006/relationships/hyperlink" Target="https://meteor-uat.aihw.gov.au/content/391349" TargetMode="External" Id="R3e521fdfd85b41cc" /><Relationship Type="http://schemas.openxmlformats.org/officeDocument/2006/relationships/hyperlink" Target="https://meteor-uat.aihw.gov.au/content/466132" TargetMode="External" Id="Rabf8478171e248c0" /><Relationship Type="http://schemas.openxmlformats.org/officeDocument/2006/relationships/hyperlink" Target="https://meteor-uat.aihw.gov.au/content/388656" TargetMode="External" Id="R81716804a9c84e00" /><Relationship Type="http://schemas.openxmlformats.org/officeDocument/2006/relationships/hyperlink" Target="https://meteor-uat.aihw.gov.au/content/393625" TargetMode="External" Id="Ra6ec7d6b7baf4738" /><Relationship Type="http://schemas.openxmlformats.org/officeDocument/2006/relationships/hyperlink" Target="https://meteor-uat.aihw.gov.au/content/287224" TargetMode="External" Id="R2872d1e0840946aa" /><Relationship Type="http://schemas.openxmlformats.org/officeDocument/2006/relationships/hyperlink" Target="https://meteor-uat.aihw.gov.au/content/429894" TargetMode="External" Id="Rd8005d18bb6d4927" /><Relationship Type="http://schemas.openxmlformats.org/officeDocument/2006/relationships/hyperlink" Target="https://meteor-uat.aihw.gov.au/content/394352" TargetMode="External" Id="Re7cf7d597f85459a" /><Relationship Type="http://schemas.openxmlformats.org/officeDocument/2006/relationships/hyperlink" Target="https://meteor-uat.aihw.gov.au/content/457293" TargetMode="External" Id="R07c99c6337ec46f3" /><Relationship Type="http://schemas.openxmlformats.org/officeDocument/2006/relationships/hyperlink" Target="https://meteor-uat.aihw.gov.au/content/393625" TargetMode="External" Id="R845748d77c0d4d7a" /><Relationship Type="http://schemas.openxmlformats.org/officeDocument/2006/relationships/hyperlink" Target="https://meteor-uat.aihw.gov.au/content/449216" TargetMode="External" Id="Rbb72bfefee0f4a17" /><Relationship Type="http://schemas.openxmlformats.org/officeDocument/2006/relationships/hyperlink" Target="https://meteor-uat.aihw.gov.au/content/394352" TargetMode="External" Id="Re1ee787a12fa45c1" /><Relationship Type="http://schemas.openxmlformats.org/officeDocument/2006/relationships/hyperlink" Target="http://www.safetyandquality.gov.au/wp-content/uploads/2014/05/Exploring-Healthcare-Variation-in-Australia-Analyses-Resulting-from-an-OECD-Study.pdf" TargetMode="External" Id="Rc1abb875902e438d" /></Relationships>
</file>

<file path=word/_rels/header1.xml.rels>&#65279;<?xml version="1.0" encoding="utf-8"?><Relationships xmlns="http://schemas.openxmlformats.org/package/2006/relationships"><Relationship Type="http://schemas.openxmlformats.org/officeDocument/2006/relationships/image" Target="/media/image.png" Id="Rf6b116ec374642cd" /></Relationships>
</file>