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9c43d8d3c64ca3" /></Relationships>
</file>

<file path=word/document.xml><?xml version="1.0" encoding="utf-8"?>
<w:document xmlns:r="http://schemas.openxmlformats.org/officeDocument/2006/relationships" xmlns:w="http://schemas.openxmlformats.org/wordprocessingml/2006/main">
  <w:body>
    <w:p>
      <w:pPr>
        <w:pStyle w:val="Title"/>
      </w:pPr>
      <w:r>
        <w:t>3.5 Number of hysterectomy and endometrial ablation admissions to hospital per 100,000 women,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​3.5 Number of hysterectomy and endometrial ablation admissions to hospital per 100,000 women,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Hysterectomy and endometrial ablation hospital admissions ,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20e79d6aa4d6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820adf4ccc34dda">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hysterectomy and endometrial ablation admissions to hospital per 100,000 women,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679986fea1401c">
              <w:r>
                <w:rPr>
                  <w:rStyle w:val="Hyperlink"/>
                </w:rPr>
                <w:t xml:space="preserve">Australian Atlas of Healthcare Variation </w:t>
              </w:r>
            </w:hyperlink>
          </w:p>
          <w:p>
            <w:pPr>
              <w:pStyle w:val="registration-status"/>
              <w:spacing w:before="0" w:after="0"/>
            </w:pPr>
            <w:hyperlink w:history="true" r:id="Rb979bfb4d89a40b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427da08ba76441a">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of 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was provided by the patient to the hospital at which they were admitted.</w:t>
            </w:r>
          </w:p>
          <w:p>
            <w:pPr>
              <w:spacing w:after="160"/>
            </w:pPr>
            <w:r>
              <w:rPr>
                <w:rStyle w:val="row-content-rich-text"/>
              </w:rPr>
              <w:t xml:space="preserve">SA3s where the total population was less than 2,500 or where the population of women was less than 200 are excluded from analysis.</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informaiton about age-standardisation see</w:t>
            </w:r>
          </w:p>
          <w:p>
            <w:hyperlink w:history="true" r:id="R01ac83f9cdbf4f3e">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hysterectomy and endometrial ablation surgery admissions to hospital for women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f5c03263f14224">
              <w:r>
                <w:rPr>
                  <w:rStyle w:val="Hyperlink"/>
                </w:rPr>
                <w:t xml:space="preserve">Hospital service—care type, code N[N].N</w:t>
              </w:r>
            </w:hyperlink>
          </w:p>
          <w:p>
            <w:r>
              <w:rPr>
                <w:rStyle w:val="row-content"/>
                <w:b/>
              </w:rPr>
              <w:t xml:space="preserve">NMDS / DSS</w:t>
            </w:r>
          </w:p>
          <w:p>
            <w:hyperlink w:history="true" r:id="R193d789bbdd5436e">
              <w:r>
                <w:rPr>
                  <w:rStyle w:val="Hyperlink"/>
                </w:rPr>
                <w:t xml:space="preserve">Admitted patient care NMDS 2012-13</w:t>
              </w:r>
            </w:hyperlink>
          </w:p>
          <w:p>
            <w:r>
              <w:rPr>
                <w:rStyle w:val="row-content"/>
                <w:b/>
              </w:rPr>
              <w:t xml:space="preserve">Guide for use</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rPr>
                <w:b/>
                <w:color w:val="000000"/>
              </w:rPr>
              <w:t xml:space="preserve">Data Element / Data Set</w:t>
            </w:r>
          </w:p>
          <w:p>
            <w:hyperlink w:history="true" r:id="R62c05b18836345de">
              <w:r>
                <w:rPr>
                  <w:rStyle w:val="Hyperlink"/>
                </w:rPr>
                <w:t xml:space="preserve">Episode of care—additional diagnosis, code (ICD-10-AM 7th edn) ANN{.N[N]}</w:t>
              </w:r>
            </w:hyperlink>
          </w:p>
          <w:p>
            <w:r>
              <w:rPr>
                <w:b/>
              </w:rPr>
              <w:t xml:space="preserve">NMDS / DSS</w:t>
            </w:r>
          </w:p>
          <w:p>
            <w:hyperlink w:history="true" r:id="R4cc6246aee644b34">
              <w:r>
                <w:rPr>
                  <w:rStyle w:val="Hyperlink"/>
                </w:rPr>
                <w:t xml:space="preserve">Admitted patient care NMDS 2012-13</w:t>
              </w:r>
            </w:hyperlink>
          </w:p>
          <w:p>
            <w:r>
              <w:rPr>
                <w:b/>
              </w:rPr>
              <w:t xml:space="preserve">Guide for use</w:t>
            </w:r>
          </w:p>
          <w:p>
            <w:r>
              <w:rPr>
                <w:b/>
              </w:rPr>
              <w:t xml:space="preserve">Exclusion principal or additional diagnosis codes.</w:t>
            </w:r>
          </w:p>
          <w:p>
            <w:r>
              <w:t xml:space="preserve"> </w:t>
            </w:r>
          </w:p>
          <w:tbl>
            <w:tblPr>
              <w:tblStyle w:val="TableGrid"/>
              <w:tblW w:w="5000" w:type="pct"/>
              <w:tblLayout w:type="autofit"/>
            </w:tblPr>
            <w:tblGrid>
              <w:gridCol/>
              <w:gridCol/>
            </w:tblGrid>
            <w:tr>
              <w:trPr/>
              <w:tc>
                <w:tcPr>
                  <w:tcW w:w="1200" w:type="pct"/>
                  <w:vAlign w:val="top"/>
                </w:tcPr>
                <w:p>
                  <w:r>
                    <w:rPr>
                      <w:b/>
                    </w:rPr>
                    <w:t xml:space="preserve">ICD-10-AM (7th edn) codes</w:t>
                  </w:r>
                </w:p>
              </w:tc>
              <w:tc>
                <w:tcPr>
                  <w:tcW w:w="3750" w:type="pct"/>
                  <w:vAlign w:val="top"/>
                </w:tcPr>
                <w:p>
                  <w:r>
                    <w:rPr>
                      <w:b/>
                    </w:rPr>
                    <w:t xml:space="preserve">Description</w:t>
                  </w:r>
                </w:p>
              </w:tc>
            </w:tr>
            <w:tr>
              <w:trPr/>
              <w:tc>
                <w:tcPr>
                  <w:tcW w:w="1200" w:type="pct"/>
                  <w:vAlign w:val="top"/>
                </w:tcPr>
                <w:p>
                  <w:r>
                    <w:t xml:space="preserve">C00–C96</w:t>
                  </w:r>
                </w:p>
              </w:tc>
              <w:tc>
                <w:tcPr>
                  <w:tcW w:w="3750" w:type="pct"/>
                  <w:vAlign w:val="top"/>
                </w:tcPr>
                <w:p>
                  <w:r>
                    <w:t xml:space="preserve">Malignant neoplasms</w:t>
                  </w:r>
                </w:p>
              </w:tc>
            </w:tr>
            <w:tr>
              <w:trPr/>
              <w:tc>
                <w:tcPr>
                  <w:tcW w:w="1200" w:type="pct"/>
                  <w:vAlign w:val="top"/>
                </w:tcPr>
                <w:p>
                  <w:r>
                    <w:t xml:space="preserve">D45</w:t>
                  </w:r>
                </w:p>
              </w:tc>
              <w:tc>
                <w:tcPr>
                  <w:tcW w:w="3750" w:type="pct"/>
                  <w:vAlign w:val="top"/>
                </w:tcPr>
                <w:p>
                  <w:r>
                    <w:t xml:space="preserve">Polycythaemia vera</w:t>
                  </w:r>
                </w:p>
              </w:tc>
            </w:tr>
            <w:tr>
              <w:trPr/>
              <w:tc>
                <w:tcPr>
                  <w:tcW w:w="1200" w:type="pct"/>
                  <w:vAlign w:val="top"/>
                </w:tcPr>
                <w:p>
                  <w:r>
                    <w:t xml:space="preserve">D46</w:t>
                  </w:r>
                </w:p>
              </w:tc>
              <w:tc>
                <w:tcPr>
                  <w:tcW w:w="3750" w:type="pct"/>
                  <w:vAlign w:val="top"/>
                </w:tcPr>
                <w:p>
                  <w:r>
                    <w:t xml:space="preserve">Myelodysplastic syndrome</w:t>
                  </w:r>
                </w:p>
              </w:tc>
            </w:tr>
            <w:tr>
              <w:trPr/>
              <w:tc>
                <w:tcPr>
                  <w:tcW w:w="1200" w:type="pct"/>
                  <w:vAlign w:val="top"/>
                </w:tcPr>
                <w:p>
                  <w:r>
                    <w:t xml:space="preserve">D47.1</w:t>
                  </w:r>
                </w:p>
              </w:tc>
              <w:tc>
                <w:tcPr>
                  <w:tcW w:w="3750" w:type="pct"/>
                  <w:vAlign w:val="top"/>
                </w:tcPr>
                <w:p>
                  <w:r>
                    <w:t xml:space="preserve">Chronic myeloproliferative disease</w:t>
                  </w:r>
                </w:p>
              </w:tc>
            </w:tr>
            <w:tr>
              <w:trPr/>
              <w:tc>
                <w:tcPr>
                  <w:tcW w:w="1200" w:type="pct"/>
                  <w:vAlign w:val="top"/>
                </w:tcPr>
                <w:p>
                  <w:r>
                    <w:t xml:space="preserve">D47.3</w:t>
                  </w:r>
                </w:p>
              </w:tc>
              <w:tc>
                <w:tcPr>
                  <w:tcW w:w="3750" w:type="pct"/>
                  <w:vAlign w:val="top"/>
                </w:tcPr>
                <w:p>
                  <w:r>
                    <w:t xml:space="preserve">Essential (haemorrhagic) thrombocythaemia</w:t>
                  </w:r>
                </w:p>
              </w:tc>
            </w:tr>
          </w:tbl>
          <w:p>
            <w:r>
              <w:rPr>
                <w:b/>
                <w:color w:val="000000"/>
              </w:rPr>
              <w:t xml:space="preserve">Data Element / Data Set</w:t>
            </w:r>
          </w:p>
          <w:p>
            <w:hyperlink w:history="true" r:id="R5ded320e65414495">
              <w:r>
                <w:rPr>
                  <w:rStyle w:val="Hyperlink"/>
                </w:rPr>
                <w:t xml:space="preserve">Episode of care—principal diagnosis, code (ICD-10-AM 7th edn) ANN{.N[N]}</w:t>
              </w:r>
            </w:hyperlink>
          </w:p>
          <w:p>
            <w:r>
              <w:rPr>
                <w:b/>
              </w:rPr>
              <w:t xml:space="preserve">NMDS / DSS</w:t>
            </w:r>
          </w:p>
          <w:p>
            <w:hyperlink w:history="true" r:id="Ra37b83301ed64c1d">
              <w:r>
                <w:rPr>
                  <w:rStyle w:val="Hyperlink"/>
                </w:rPr>
                <w:t xml:space="preserve">Admitted patient care NMDS 2012-13</w:t>
              </w:r>
            </w:hyperlink>
          </w:p>
          <w:p>
            <w:r>
              <w:t xml:space="preserve"> </w:t>
            </w:r>
          </w:p>
          <w:p>
            <w:r>
              <w:rPr>
                <w:b/>
                <w:color w:val="000000"/>
              </w:rPr>
              <w:t xml:space="preserve">Data Element / Data Set</w:t>
            </w:r>
          </w:p>
          <w:p>
            <w:hyperlink w:history="true" r:id="Rcb7851e8d9f246ad">
              <w:r>
                <w:rPr>
                  <w:rStyle w:val="Hyperlink"/>
                </w:rPr>
                <w:t xml:space="preserve">Episode of admitted patient care—procedure, code (ACHI 7th edn) NNNNN-NN</w:t>
              </w:r>
            </w:hyperlink>
          </w:p>
          <w:p>
            <w:r>
              <w:rPr>
                <w:b/>
              </w:rPr>
              <w:t xml:space="preserve">NMDS / DSS</w:t>
            </w:r>
          </w:p>
          <w:p>
            <w:hyperlink w:history="true" r:id="Reba246199cb94f22">
              <w:r>
                <w:rPr>
                  <w:rStyle w:val="Hyperlink"/>
                </w:rPr>
                <w:t xml:space="preserve">Admitted patient care NMDS 2012-13</w:t>
              </w:r>
            </w:hyperlink>
          </w:p>
          <w:p>
            <w:r>
              <w:rPr>
                <w:b/>
              </w:rPr>
              <w:t xml:space="preserve">Guide for use</w:t>
            </w:r>
          </w:p>
          <w:p>
            <w:r>
              <w:rPr>
                <w:b/>
              </w:rPr>
              <w:t xml:space="preserve">Inclusion procedure codes and description.</w:t>
            </w:r>
          </w:p>
          <w:p>
            <w:r>
              <w:rPr>
                <w:b/>
              </w:rPr>
              <w:t xml:space="preserve">Principal or additional procedure code of:</w:t>
            </w:r>
          </w:p>
          <w:p>
            <w:r>
              <w:t xml:space="preserve"> </w:t>
            </w:r>
          </w:p>
          <w:tbl>
            <w:tblPr>
              <w:tblStyle w:val="TableGrid"/>
              <w:tblW w:w="5000" w:type="pct"/>
              <w:tblLayout w:type="autofit"/>
            </w:tblPr>
            <w:tblGrid>
              <w:gridCol/>
              <w:gridCol/>
            </w:tblGrid>
            <w:tr>
              <w:trPr/>
              <w:tc>
                <w:tcPr>
                  <w:tcW w:w="1000" w:type="pct"/>
                  <w:vAlign w:val="top"/>
                </w:tcPr>
                <w:p>
                  <w:r>
                    <w:rPr>
                      <w:b/>
                    </w:rPr>
                    <w:t xml:space="preserve">ACHI (7th edn) code</w:t>
                  </w:r>
                </w:p>
              </w:tc>
              <w:tc>
                <w:tcPr>
                  <w:tcW w:w="4000" w:type="pct"/>
                  <w:vAlign w:val="top"/>
                </w:tcPr>
                <w:p>
                  <w:r>
                    <w:rPr>
                      <w:b/>
                    </w:rPr>
                    <w:t xml:space="preserve">Description</w:t>
                  </w:r>
                </w:p>
              </w:tc>
            </w:tr>
            <w:tr>
              <w:trPr/>
              <w:tc>
                <w:tcPr>
                  <w:tcW w:w="1000" w:type="pct"/>
                  <w:vAlign w:val="top"/>
                </w:tcPr>
                <w:p>
                  <w:r>
                    <w:t xml:space="preserve">90448–00</w:t>
                  </w:r>
                </w:p>
              </w:tc>
              <w:tc>
                <w:tcPr>
                  <w:tcW w:w="4000" w:type="pct"/>
                  <w:vAlign w:val="top"/>
                </w:tcPr>
                <w:p>
                  <w:r>
                    <w:t xml:space="preserve">Subtotal laparoscopic abdominal hysterectomy</w:t>
                  </w:r>
                </w:p>
              </w:tc>
            </w:tr>
            <w:tr>
              <w:trPr/>
              <w:tc>
                <w:tcPr>
                  <w:tcW w:w="1000" w:type="pct"/>
                  <w:vAlign w:val="top"/>
                </w:tcPr>
                <w:p>
                  <w:r>
                    <w:t xml:space="preserve">35653–00</w:t>
                  </w:r>
                </w:p>
              </w:tc>
              <w:tc>
                <w:tcPr>
                  <w:tcW w:w="4000" w:type="pct"/>
                  <w:vAlign w:val="top"/>
                </w:tcPr>
                <w:p>
                  <w:r>
                    <w:t xml:space="preserve">Subtotal abdominal hysterectomy</w:t>
                  </w:r>
                </w:p>
              </w:tc>
            </w:tr>
            <w:tr>
              <w:trPr/>
              <w:tc>
                <w:tcPr>
                  <w:tcW w:w="1000" w:type="pct"/>
                  <w:vAlign w:val="top"/>
                </w:tcPr>
                <w:p>
                  <w:r>
                    <w:t xml:space="preserve">90448–01</w:t>
                  </w:r>
                </w:p>
              </w:tc>
              <w:tc>
                <w:tcPr>
                  <w:tcW w:w="4000" w:type="pct"/>
                  <w:vAlign w:val="top"/>
                </w:tcPr>
                <w:p>
                  <w:r>
                    <w:t xml:space="preserve">Total laparoscopic abdominal hysterectomy</w:t>
                  </w:r>
                </w:p>
              </w:tc>
            </w:tr>
            <w:tr>
              <w:trPr/>
              <w:tc>
                <w:tcPr>
                  <w:tcW w:w="1000" w:type="pct"/>
                  <w:vAlign w:val="top"/>
                </w:tcPr>
                <w:p>
                  <w:r>
                    <w:t xml:space="preserve">35653–01</w:t>
                  </w:r>
                </w:p>
              </w:tc>
              <w:tc>
                <w:tcPr>
                  <w:tcW w:w="4000" w:type="pct"/>
                  <w:vAlign w:val="top"/>
                </w:tcPr>
                <w:p>
                  <w:r>
                    <w:t xml:space="preserve">Total abdominal hysterectomy</w:t>
                  </w:r>
                </w:p>
              </w:tc>
            </w:tr>
            <w:tr>
              <w:trPr/>
              <w:tc>
                <w:tcPr>
                  <w:tcW w:w="1000" w:type="pct"/>
                  <w:vAlign w:val="top"/>
                </w:tcPr>
                <w:p>
                  <w:r>
                    <w:t xml:space="preserve">90448–02</w:t>
                  </w:r>
                </w:p>
              </w:tc>
              <w:tc>
                <w:tcPr>
                  <w:tcW w:w="4000" w:type="pct"/>
                  <w:vAlign w:val="top"/>
                </w:tcPr>
                <w:p>
                  <w:r>
                    <w:t xml:space="preserve">Total laparoscopic abdominal hysterectomy with removal of adnexa</w:t>
                  </w:r>
                </w:p>
              </w:tc>
            </w:tr>
            <w:tr>
              <w:trPr/>
              <w:tc>
                <w:tcPr>
                  <w:tcW w:w="1000" w:type="pct"/>
                  <w:vAlign w:val="top"/>
                </w:tcPr>
                <w:p>
                  <w:r>
                    <w:t xml:space="preserve">35653–04</w:t>
                  </w:r>
                </w:p>
              </w:tc>
              <w:tc>
                <w:tcPr>
                  <w:tcW w:w="4000" w:type="pct"/>
                  <w:vAlign w:val="top"/>
                </w:tcPr>
                <w:p>
                  <w:r>
                    <w:t xml:space="preserve">Total abdominal hysterectomy with removal of adnexa</w:t>
                  </w:r>
                </w:p>
              </w:tc>
            </w:tr>
            <w:tr>
              <w:trPr/>
              <w:tc>
                <w:tcPr>
                  <w:tcW w:w="1000" w:type="pct"/>
                  <w:vAlign w:val="top"/>
                </w:tcPr>
                <w:p>
                  <w:r>
                    <w:t xml:space="preserve">35661–00</w:t>
                  </w:r>
                </w:p>
              </w:tc>
              <w:tc>
                <w:tcPr>
                  <w:tcW w:w="4000" w:type="pct"/>
                  <w:vAlign w:val="top"/>
                </w:tcPr>
                <w:p>
                  <w:r>
                    <w:t xml:space="preserve">Abdominal hysterectomy with extensive retroperitoneal dissection</w:t>
                  </w:r>
                </w:p>
              </w:tc>
            </w:tr>
            <w:tr>
              <w:trPr/>
              <w:tc>
                <w:tcPr>
                  <w:tcW w:w="1000" w:type="pct"/>
                  <w:vAlign w:val="top"/>
                </w:tcPr>
                <w:p>
                  <w:r>
                    <w:t xml:space="preserve">35670–00</w:t>
                  </w:r>
                </w:p>
              </w:tc>
              <w:tc>
                <w:tcPr>
                  <w:tcW w:w="4000" w:type="pct"/>
                  <w:vAlign w:val="top"/>
                </w:tcPr>
                <w:p>
                  <w:r>
                    <w:t xml:space="preserve">Abdominal hysterectomy with radical excision of pelvic lymph nodes</w:t>
                  </w:r>
                </w:p>
              </w:tc>
            </w:tr>
            <w:tr>
              <w:trPr/>
              <w:tc>
                <w:tcPr>
                  <w:tcW w:w="1000" w:type="pct"/>
                  <w:vAlign w:val="top"/>
                </w:tcPr>
                <w:p>
                  <w:r>
                    <w:t xml:space="preserve">35667–00</w:t>
                  </w:r>
                </w:p>
              </w:tc>
              <w:tc>
                <w:tcPr>
                  <w:tcW w:w="4000" w:type="pct"/>
                  <w:vAlign w:val="top"/>
                </w:tcPr>
                <w:p>
                  <w:r>
                    <w:t xml:space="preserve">Radical abdominal hysterectomy</w:t>
                  </w:r>
                </w:p>
              </w:tc>
            </w:tr>
            <w:tr>
              <w:trPr/>
              <w:tc>
                <w:tcPr>
                  <w:tcW w:w="1000" w:type="pct"/>
                  <w:vAlign w:val="top"/>
                </w:tcPr>
                <w:p>
                  <w:r>
                    <w:t xml:space="preserve">35664–00</w:t>
                  </w:r>
                </w:p>
              </w:tc>
              <w:tc>
                <w:tcPr>
                  <w:tcW w:w="4000" w:type="pct"/>
                  <w:vAlign w:val="top"/>
                </w:tcPr>
                <w:p>
                  <w:r>
                    <w:t xml:space="preserve">Radical abdominal hysterectomy with radical excision of pelvic lymph nodes</w:t>
                  </w:r>
                </w:p>
              </w:tc>
            </w:tr>
            <w:tr>
              <w:trPr/>
              <w:tc>
                <w:tcPr>
                  <w:tcW w:w="1000" w:type="pct"/>
                  <w:vAlign w:val="top"/>
                </w:tcPr>
                <w:p>
                  <w:r>
                    <w:t xml:space="preserve">35750–00</w:t>
                  </w:r>
                </w:p>
              </w:tc>
              <w:tc>
                <w:tcPr>
                  <w:tcW w:w="4000" w:type="pct"/>
                  <w:vAlign w:val="top"/>
                </w:tcPr>
                <w:p>
                  <w:r>
                    <w:t xml:space="preserve">Laparoscopically assisted vaginal hysterectomy</w:t>
                  </w:r>
                </w:p>
              </w:tc>
            </w:tr>
            <w:tr>
              <w:trPr/>
              <w:tc>
                <w:tcPr>
                  <w:tcW w:w="1000" w:type="pct"/>
                  <w:vAlign w:val="top"/>
                </w:tcPr>
                <w:p>
                  <w:r>
                    <w:t xml:space="preserve">35753–02</w:t>
                  </w:r>
                </w:p>
              </w:tc>
              <w:tc>
                <w:tcPr>
                  <w:tcW w:w="4000" w:type="pct"/>
                  <w:vAlign w:val="top"/>
                </w:tcPr>
                <w:p>
                  <w:r>
                    <w:t xml:space="preserve">Laparoscopically assisted vaginal hysterectomy with removal of adnexa</w:t>
                  </w:r>
                </w:p>
              </w:tc>
            </w:tr>
            <w:tr>
              <w:trPr/>
              <w:tc>
                <w:tcPr>
                  <w:tcW w:w="1000" w:type="pct"/>
                  <w:vAlign w:val="top"/>
                </w:tcPr>
                <w:p>
                  <w:r>
                    <w:t xml:space="preserve">35756–00</w:t>
                  </w:r>
                </w:p>
              </w:tc>
              <w:tc>
                <w:tcPr>
                  <w:tcW w:w="4000" w:type="pct"/>
                  <w:vAlign w:val="top"/>
                </w:tcPr>
                <w:p>
                  <w:r>
                    <w:t xml:space="preserve">Laparascopically assisted vaginal hysterectomy proceeding to abdominal hysterectomy</w:t>
                  </w:r>
                </w:p>
              </w:tc>
            </w:tr>
            <w:tr>
              <w:trPr/>
              <w:tc>
                <w:tcPr>
                  <w:tcW w:w="1000" w:type="pct"/>
                  <w:vAlign w:val="top"/>
                </w:tcPr>
                <w:p>
                  <w:r>
                    <w:t xml:space="preserve">35756–03</w:t>
                  </w:r>
                </w:p>
              </w:tc>
              <w:tc>
                <w:tcPr>
                  <w:tcW w:w="4000" w:type="pct"/>
                  <w:vAlign w:val="top"/>
                </w:tcPr>
                <w:p>
                  <w:r>
                    <w:t xml:space="preserve">Laparascopically assisted vaginal hysterectomy proceeding to abdominal hysterectomy with removal of adnexa</w:t>
                  </w:r>
                </w:p>
              </w:tc>
            </w:tr>
            <w:tr>
              <w:trPr/>
              <w:tc>
                <w:tcPr>
                  <w:tcW w:w="1000" w:type="pct"/>
                  <w:vAlign w:val="top"/>
                </w:tcPr>
                <w:p>
                  <w:r>
                    <w:t xml:space="preserve">35657–00</w:t>
                  </w:r>
                </w:p>
              </w:tc>
              <w:tc>
                <w:tcPr>
                  <w:tcW w:w="4000" w:type="pct"/>
                  <w:vAlign w:val="top"/>
                </w:tcPr>
                <w:p>
                  <w:r>
                    <w:t xml:space="preserve">Vaginal hysterectomy</w:t>
                  </w:r>
                </w:p>
              </w:tc>
            </w:tr>
            <w:tr>
              <w:trPr/>
              <w:tc>
                <w:tcPr>
                  <w:tcW w:w="1000" w:type="pct"/>
                  <w:vAlign w:val="top"/>
                </w:tcPr>
                <w:p>
                  <w:r>
                    <w:t xml:space="preserve">35673–02</w:t>
                  </w:r>
                </w:p>
              </w:tc>
              <w:tc>
                <w:tcPr>
                  <w:tcW w:w="4000" w:type="pct"/>
                  <w:vAlign w:val="top"/>
                </w:tcPr>
                <w:p>
                  <w:r>
                    <w:t xml:space="preserve">Vaginal hysterectomy with removal of adnexa</w:t>
                  </w:r>
                </w:p>
              </w:tc>
            </w:tr>
            <w:tr>
              <w:trPr/>
              <w:tc>
                <w:tcPr>
                  <w:tcW w:w="1000" w:type="pct"/>
                  <w:vAlign w:val="top"/>
                </w:tcPr>
                <w:p>
                  <w:r>
                    <w:t xml:space="preserve">35667–01</w:t>
                  </w:r>
                </w:p>
              </w:tc>
              <w:tc>
                <w:tcPr>
                  <w:tcW w:w="4000" w:type="pct"/>
                  <w:vAlign w:val="top"/>
                </w:tcPr>
                <w:p>
                  <w:r>
                    <w:t xml:space="preserve">Radical vaginal hysterectomy</w:t>
                  </w:r>
                </w:p>
              </w:tc>
            </w:tr>
            <w:tr>
              <w:trPr/>
              <w:tc>
                <w:tcPr>
                  <w:tcW w:w="1000" w:type="pct"/>
                  <w:vAlign w:val="top"/>
                </w:tcPr>
                <w:p>
                  <w:r>
                    <w:t xml:space="preserve">35664–01</w:t>
                  </w:r>
                </w:p>
              </w:tc>
              <w:tc>
                <w:tcPr>
                  <w:tcW w:w="4000" w:type="pct"/>
                  <w:vAlign w:val="top"/>
                </w:tcPr>
                <w:p>
                  <w:r>
                    <w:t xml:space="preserve">Radical vaginal hysterectomy with radical excision of pelvic lymph nodes</w:t>
                  </w:r>
                </w:p>
              </w:tc>
            </w:tr>
            <w:tr>
              <w:trPr/>
              <w:tc>
                <w:tcPr>
                  <w:tcW w:w="1000" w:type="pct"/>
                  <w:vAlign w:val="top"/>
                </w:tcPr>
                <w:p>
                  <w:r>
                    <w:t xml:space="preserve">90450–00</w:t>
                  </w:r>
                </w:p>
              </w:tc>
              <w:tc>
                <w:tcPr>
                  <w:tcW w:w="4000" w:type="pct"/>
                  <w:vAlign w:val="top"/>
                </w:tcPr>
                <w:p>
                  <w:r>
                    <w:t xml:space="preserve">Anterior pelvic exenteration</w:t>
                  </w:r>
                </w:p>
              </w:tc>
            </w:tr>
            <w:tr>
              <w:trPr/>
              <w:tc>
                <w:tcPr>
                  <w:tcW w:w="1000" w:type="pct"/>
                  <w:vAlign w:val="top"/>
                </w:tcPr>
                <w:p>
                  <w:r>
                    <w:t xml:space="preserve">90450–01</w:t>
                  </w:r>
                </w:p>
              </w:tc>
              <w:tc>
                <w:tcPr>
                  <w:tcW w:w="4000" w:type="pct"/>
                  <w:vAlign w:val="top"/>
                </w:tcPr>
                <w:p>
                  <w:r>
                    <w:t xml:space="preserve">Posterior pelvic exenteration</w:t>
                  </w:r>
                </w:p>
              </w:tc>
            </w:tr>
            <w:tr>
              <w:trPr/>
              <w:tc>
                <w:tcPr>
                  <w:tcW w:w="1000" w:type="pct"/>
                  <w:vAlign w:val="top"/>
                </w:tcPr>
                <w:p>
                  <w:r>
                    <w:t xml:space="preserve">90450–02</w:t>
                  </w:r>
                </w:p>
              </w:tc>
              <w:tc>
                <w:tcPr>
                  <w:tcW w:w="4000" w:type="pct"/>
                  <w:vAlign w:val="top"/>
                </w:tcPr>
                <w:p>
                  <w:r>
                    <w:t xml:space="preserve">Total pelvic exenteration</w:t>
                  </w:r>
                </w:p>
              </w:tc>
            </w:tr>
            <w:tr>
              <w:trPr/>
              <w:tc>
                <w:tcPr>
                  <w:tcW w:w="1000" w:type="pct"/>
                  <w:vAlign w:val="top"/>
                </w:tcPr>
                <w:p>
                  <w:r>
                    <w:t xml:space="preserve">35622-00</w:t>
                  </w:r>
                </w:p>
              </w:tc>
              <w:tc>
                <w:tcPr>
                  <w:tcW w:w="4000" w:type="pct"/>
                  <w:vAlign w:val="top"/>
                </w:tcPr>
                <w:p>
                  <w:r>
                    <w:t xml:space="preserve">Endoscopic endometrial ablation</w:t>
                  </w:r>
                </w:p>
              </w:tc>
            </w:tr>
          </w:tbl>
          <w:p>
            <w: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66ad031e0d4c11">
              <w:r>
                <w:rPr>
                  <w:rStyle w:val="Hyperlink"/>
                </w:rPr>
                <w:t xml:space="preserve">Person—estimated resident population of Australia, total people N[N(7)]</w:t>
              </w:r>
            </w:hyperlink>
          </w:p>
          <w:p>
            <w:r>
              <w:rPr>
                <w:rStyle w:val="row-content"/>
                <w:b/>
              </w:rPr>
              <w:t xml:space="preserve">Data Source</w:t>
            </w:r>
          </w:p>
          <w:p>
            <w:hyperlink w:history="true" r:id="R410041daddbf4a5f">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508f0d3e76e34343">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328f5bfc0b48c9">
              <w:r>
                <w:rPr>
                  <w:rStyle w:val="Hyperlink"/>
                </w:rPr>
                <w:t xml:space="preserve">Address—Australian postcode, Australian postcode code (Postcode datafile) {NNNN}</w:t>
              </w:r>
            </w:hyperlink>
          </w:p>
          <w:p>
            <w:r>
              <w:rPr>
                <w:rStyle w:val="row-content"/>
                <w:b/>
              </w:rPr>
              <w:t xml:space="preserve">Data Source</w:t>
            </w:r>
          </w:p>
          <w:p>
            <w:hyperlink w:history="true" r:id="Rcf480c812faf4a6d">
              <w:r>
                <w:rPr>
                  <w:rStyle w:val="Hyperlink"/>
                </w:rPr>
                <w:t xml:space="preserve">National Hospital Morbidity Database (NHMD)</w:t>
              </w:r>
            </w:hyperlink>
          </w:p>
          <w:p>
            <w:r>
              <w:rPr>
                <w:rStyle w:val="row-content"/>
                <w:b/>
              </w:rPr>
              <w:t xml:space="preserve">Guide for use</w:t>
            </w:r>
          </w:p>
          <w:p>
            <w:r>
              <w:rPr>
                <w:rStyle w:val="row-content"/>
              </w:rPr>
              <w:t xml:space="preserve">Postcode is that which was provided by the patient to the hospital at which they were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0aae809b803443d8">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24e1befdd24ed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b2a1e7f170944a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339d788ef48427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Performacne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41e0da21e62442f">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bl>
    <w:p>
      <w:r>
        <w:br/>
      </w:r>
    </w:p>
    <w:sectPr>
      <w:footerReference xmlns:r="http://schemas.openxmlformats.org/officeDocument/2006/relationships" w:type="default" r:id="R48b158a20bb9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c6e0909c5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158a20bb94707" /><Relationship Type="http://schemas.openxmlformats.org/officeDocument/2006/relationships/header" Target="/word/header1.xml" Id="Rd676dfa7f2764654" /><Relationship Type="http://schemas.openxmlformats.org/officeDocument/2006/relationships/settings" Target="/word/settings.xml" Id="Rb652cd5c17cb482b" /><Relationship Type="http://schemas.openxmlformats.org/officeDocument/2006/relationships/styles" Target="/word/styles.xml" Id="R6e02d91167334ae4" /><Relationship Type="http://schemas.openxmlformats.org/officeDocument/2006/relationships/numbering" Target="/word/numbering.xml" Id="Rc7ea364da8ef4750" /><Relationship Type="http://schemas.openxmlformats.org/officeDocument/2006/relationships/hyperlink" Target="https://meteor-uat.aihw.gov.au/RegistrationAuthority/10" TargetMode="External" Id="R59220e79d6aa4d67" /><Relationship Type="http://schemas.openxmlformats.org/officeDocument/2006/relationships/hyperlink" Target="https://meteor-uat.aihw.gov.au/RegistrationAuthority/2" TargetMode="External" Id="R4820adf4ccc34dda" /><Relationship Type="http://schemas.openxmlformats.org/officeDocument/2006/relationships/hyperlink" Target="https://meteor-uat.aihw.gov.au/content/623427" TargetMode="External" Id="R91679986fea1401c" /><Relationship Type="http://schemas.openxmlformats.org/officeDocument/2006/relationships/hyperlink" Target="https://meteor-uat.aihw.gov.au/RegistrationAuthority/10" TargetMode="External" Id="Rb979bfb4d89a40bb" /><Relationship Type="http://schemas.openxmlformats.org/officeDocument/2006/relationships/hyperlink" Target="https://meteor-uat.aihw.gov.au/RegistrationAuthority/2" TargetMode="External" Id="R4427da08ba76441a" /><Relationship Type="http://schemas.openxmlformats.org/officeDocument/2006/relationships/hyperlink" Target="https://meteor-uat.aihw.gov.au/content/327276" TargetMode="External" Id="R01ac83f9cdbf4f3e" /><Relationship Type="http://schemas.openxmlformats.org/officeDocument/2006/relationships/hyperlink" Target="https://meteor-uat.aihw.gov.au/content/270174" TargetMode="External" Id="R65f5c03263f14224" /><Relationship Type="http://schemas.openxmlformats.org/officeDocument/2006/relationships/hyperlink" Target="https://meteor-uat.aihw.gov.au/content/466132" TargetMode="External" Id="R193d789bbdd5436e" /><Relationship Type="http://schemas.openxmlformats.org/officeDocument/2006/relationships/hyperlink" Target="https://meteor-uat.aihw.gov.au/content/391322" TargetMode="External" Id="R62c05b18836345de" /><Relationship Type="http://schemas.openxmlformats.org/officeDocument/2006/relationships/hyperlink" Target="https://meteor-uat.aihw.gov.au/content/466132" TargetMode="External" Id="R4cc6246aee644b34" /><Relationship Type="http://schemas.openxmlformats.org/officeDocument/2006/relationships/hyperlink" Target="https://meteor-uat.aihw.gov.au/content/391326" TargetMode="External" Id="R5ded320e65414495" /><Relationship Type="http://schemas.openxmlformats.org/officeDocument/2006/relationships/hyperlink" Target="https://meteor-uat.aihw.gov.au/content/466132" TargetMode="External" Id="Ra37b83301ed64c1d" /><Relationship Type="http://schemas.openxmlformats.org/officeDocument/2006/relationships/hyperlink" Target="https://meteor-uat.aihw.gov.au/content/391349" TargetMode="External" Id="Rcb7851e8d9f246ad" /><Relationship Type="http://schemas.openxmlformats.org/officeDocument/2006/relationships/hyperlink" Target="https://meteor-uat.aihw.gov.au/content/466132" TargetMode="External" Id="Reba246199cb94f22" /><Relationship Type="http://schemas.openxmlformats.org/officeDocument/2006/relationships/hyperlink" Target="https://meteor-uat.aihw.gov.au/content/388656" TargetMode="External" Id="R6066ad031e0d4c11" /><Relationship Type="http://schemas.openxmlformats.org/officeDocument/2006/relationships/hyperlink" Target="https://meteor-uat.aihw.gov.au/content/393625" TargetMode="External" Id="R410041daddbf4a5f" /><Relationship Type="http://schemas.openxmlformats.org/officeDocument/2006/relationships/hyperlink" Target="https://meteor-uat.aihw.gov.au/content/287224" TargetMode="External" Id="R508f0d3e76e34343" /><Relationship Type="http://schemas.openxmlformats.org/officeDocument/2006/relationships/hyperlink" Target="https://meteor-uat.aihw.gov.au/content/429894" TargetMode="External" Id="R44328f5bfc0b48c9" /><Relationship Type="http://schemas.openxmlformats.org/officeDocument/2006/relationships/hyperlink" Target="https://meteor-uat.aihw.gov.au/content/394352" TargetMode="External" Id="Rcf480c812faf4a6d" /><Relationship Type="http://schemas.openxmlformats.org/officeDocument/2006/relationships/hyperlink" Target="https://meteor-uat.aihw.gov.au/content/457293" TargetMode="External" Id="R0aae809b803443d8" /><Relationship Type="http://schemas.openxmlformats.org/officeDocument/2006/relationships/hyperlink" Target="https://meteor-uat.aihw.gov.au/content/393625" TargetMode="External" Id="R8424e1befdd24edd" /><Relationship Type="http://schemas.openxmlformats.org/officeDocument/2006/relationships/hyperlink" Target="https://meteor-uat.aihw.gov.au/content/449216" TargetMode="External" Id="Rfb2a1e7f170944a2" /><Relationship Type="http://schemas.openxmlformats.org/officeDocument/2006/relationships/hyperlink" Target="https://meteor-uat.aihw.gov.au/content/394352" TargetMode="External" Id="R7339d788ef48427e" /><Relationship Type="http://schemas.openxmlformats.org/officeDocument/2006/relationships/hyperlink" Target="http://www.safetyandquality.gov.au/wp-content/uploads/2014/05/Exploring-Healthcare-Variation-in-Australia-Analyses-Resulting-from-an-OECD-Study.pdf" TargetMode="External" Id="R341e0da21e62442f" /></Relationships>
</file>

<file path=word/_rels/header1.xml.rels>&#65279;<?xml version="1.0" encoding="utf-8"?><Relationships xmlns="http://schemas.openxmlformats.org/package/2006/relationships"><Relationship Type="http://schemas.openxmlformats.org/officeDocument/2006/relationships/image" Target="/media/image.png" Id="Re7dc6e0909c54ead" /></Relationships>
</file>