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979bf7ede4ed1" /></Relationships>
</file>

<file path=word/document.xml><?xml version="1.0" encoding="utf-8"?>
<w:document xmlns:r="http://schemas.openxmlformats.org/officeDocument/2006/relationships" xmlns:w="http://schemas.openxmlformats.org/wordprocessingml/2006/main">
  <w:body>
    <w:p>
      <w:pPr>
        <w:pStyle w:val="Title"/>
      </w:pPr>
      <w:r>
        <w:t>Acute coronary syndromes: 4a-NSTEACS patients with documented assessment and risk stratification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4a-NSTEACS patients with documented assessment and risk stratification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4a-NSTEACS patients with documented assessment and risk stratification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6c69fceaa423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with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cfa4b2c8a0e14279">
              <w:r>
                <w:rPr>
                  <w:rStyle w:val="Hyperlink"/>
                  <w:b/>
                </w:rPr>
                <w:t xml:space="preserve">non-ST-segment-elevation acute coronary syndrome (NSTEACS)</w:t>
              </w:r>
            </w:hyperlink>
            <w:r>
              <w:rPr>
                <w:rStyle w:val="row-content-rich-text"/>
              </w:rPr>
              <w:t xml:space="preserve"> 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Appropriate assessment is needed to determine the likelihood of an </w:t>
            </w:r>
            <w:hyperlink w:tooltip="Any harmful event befalling a patient while in the care of the health system. Such an event may be the result of professional negligence, systems failure, mistakes, fatigue or other causes." w:history="true" r:id="R65b94de814104e2a">
              <w:r>
                <w:rPr>
                  <w:rStyle w:val="Hyperlink"/>
                  <w:b/>
                </w:rPr>
                <w:t xml:space="preserve">adverse cardiac event</w:t>
              </w:r>
            </w:hyperlink>
            <w:r>
              <w:rPr>
                <w:rStyle w:val="row-content-rich-text"/>
              </w:rPr>
              <w:t xml:space="preserve"> among NSTEACS patients. Risk stratification of NSTEACS patients is used to determine the likelihood of short-term adverse outcomes, which will direct the treatment management strategy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5097536dfe4c1a">
              <w:r>
                <w:rPr>
                  <w:rStyle w:val="Hyperlink"/>
                </w:rPr>
                <w:t xml:space="preserve">Clinical care standard indicators: acute coronary syndromes</w:t>
              </w:r>
            </w:hyperlink>
          </w:p>
          <w:p>
            <w:pPr>
              <w:pStyle w:val="registration-status"/>
              <w:spacing w:before="0" w:after="0"/>
            </w:pPr>
            <w:hyperlink w:history="true" r:id="Raaac8aa1e3e64c5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de3c5804da41f0">
              <w:r>
                <w:rPr>
                  <w:rStyle w:val="Hyperlink"/>
                </w:rPr>
                <w:t xml:space="preserve">Risk stratification</w:t>
              </w:r>
            </w:hyperlink>
          </w:p>
          <w:p>
            <w:pPr>
              <w:pStyle w:val="registration-status"/>
              <w:spacing w:before="0" w:after="0"/>
            </w:pPr>
            <w:hyperlink w:history="true" r:id="Rfeaf93c3b3c644d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 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and risk stratification is indicated for patients with advance care directives, on a palliative care pathway, subject to discussion with patients, family and carers. Risk assessment tools for consideration include:</w:t>
            </w:r>
          </w:p>
          <w:p>
            <w:pPr>
              <w:pStyle w:val="ListParagraph"/>
              <w:numPr>
                <w:ilvl w:val="0"/>
                <w:numId w:val="2"/>
              </w:numPr>
            </w:pPr>
            <w:r>
              <w:rPr>
                <w:rStyle w:val="row-content-rich-text"/>
              </w:rPr>
              <w:t xml:space="preserve">Global Registry of Acute Coronary Events (GRACE) Acute Coronary Syndrome (ACS) Risk Calculator (Centre for Outcomes Research, University of Massachusetts Medical School 2014).</w:t>
            </w:r>
          </w:p>
          <w:p>
            <w:pPr>
              <w:pStyle w:val="ListParagraph"/>
              <w:numPr>
                <w:ilvl w:val="0"/>
                <w:numId w:val="2"/>
              </w:numPr>
            </w:pPr>
            <w:r>
              <w:rPr>
                <w:rStyle w:val="row-content-rich-text"/>
              </w:rPr>
              <w:t xml:space="preserve">TIMI Risk Score for unstable angina (UA) and non-ST elevation myocardial infarction (NSTEMI) (MD Calc 2014).</w:t>
            </w:r>
          </w:p>
          <w:p>
            <w:pPr>
              <w:pStyle w:val="ListParagraph"/>
              <w:numPr>
                <w:ilvl w:val="0"/>
                <w:numId w:val="2"/>
              </w:numPr>
            </w:pPr>
            <w:r>
              <w:rPr>
                <w:rStyle w:val="row-content-rich-text"/>
              </w:rPr>
              <w:t xml:space="preserve">Acute Coronary Syndromes Treatment Algorithm (National Heart Foundation of Australia and The Cardiac Society of Australia and New Zealand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Guidelines Working Group 2006. Guidelines for the management of acute coronary syndromes 2006. Medical Journal of Australia 184(8):S1–S30.</w:t>
            </w:r>
          </w:p>
          <w:p>
            <w:pPr>
              <w:spacing w:after="160"/>
            </w:pPr>
            <w:r>
              <w:rPr>
                <w:rStyle w:val="row-content-rich-text"/>
              </w:rPr>
              <w:t xml:space="preserve">Centre for Outcomes Research, University of Massachusetts Medical School 2014. The Global Registry of Acute Coronary Events (GRACE). Centre for Outcomes Research, University of Massachusetts Medical School, Worcester. Viewed May 2014, </w:t>
            </w:r>
            <w:hyperlink w:history="true" r:id="R715edf053f2e4b02">
              <w:r>
                <w:rPr>
                  <w:rStyle w:val="Hyperlink"/>
                </w:rPr>
                <w:t xml:space="preserve">www.outcomes-umassmed.org/grace</w:t>
              </w:r>
            </w:hyperlink>
            <w:r>
              <w:rPr>
                <w:rStyle w:val="row-content-rich-text"/>
              </w:rPr>
              <w:t xml:space="preserve">.</w:t>
            </w:r>
          </w:p>
          <w:p>
            <w:pPr>
              <w:spacing w:after="160"/>
            </w:pPr>
            <w:r>
              <w:rPr>
                <w:rStyle w:val="row-content-rich-text"/>
              </w:rPr>
              <w:t xml:space="preserve">MD Calc 2014. TIMI Risk Score for UA/NSTEMI. MD Calc. Viewed May 2014, </w:t>
            </w:r>
            <w:hyperlink w:history="true" r:id="R8849d79b3fa742ed">
              <w:r>
                <w:rPr>
                  <w:rStyle w:val="Hyperlink"/>
                </w:rPr>
                <w:t xml:space="preserve">http://www.mdcalc.com/timi-risk-score-for-uanstemi/</w:t>
              </w:r>
            </w:hyperlink>
            <w:r>
              <w:rPr>
                <w:rStyle w:val="row-content-rich-text"/>
              </w:rPr>
              <w:t xml:space="preserve">.</w:t>
            </w:r>
          </w:p>
          <w:p>
            <w:pPr/>
            <w:r>
              <w:rPr>
                <w:rStyle w:val="row-content-rich-text"/>
              </w:rPr>
              <w:t xml:space="preserve">National Heart Foundation of Australia and The Cardiac Society of Australia and New Zealand 2011. Acute coronary syndromes treatment algorithm. National Heart Foundation of Australia and The Cardiac Society of Australia and New Zealand. Viewed May 2014, </w:t>
            </w:r>
            <w:hyperlink w:history="true" r:id="Rfb816f6431b341c9">
              <w:r>
                <w:rPr>
                  <w:rStyle w:val="Hyperlink"/>
                </w:rPr>
                <w:t xml:space="preserve">http://heartfoundation.org.au/images/uploads/publications/ ACS_therapy_algorithm-printable.pdf</w:t>
              </w:r>
            </w:hyperlink>
            <w:r>
              <w:rPr>
                <w:rStyle w:val="row-content-rich-text"/>
                <w:b/>
              </w:rPr>
              <w:t xml:space="preserve">.</w:t>
            </w:r>
          </w:p>
        </w:tc>
      </w:tr>
    </w:tbl>
    <w:p>
      <w:r>
        <w:br/>
      </w:r>
    </w:p>
    <w:sectPr>
      <w:footerReference xmlns:r="http://schemas.openxmlformats.org/officeDocument/2006/relationships" w:type="default" r:id="R3f5e698d2f61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f4d792ab3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e698d2f61490d" /><Relationship Type="http://schemas.openxmlformats.org/officeDocument/2006/relationships/header" Target="/word/header1.xml" Id="Rfa4693e3e6134ee8" /><Relationship Type="http://schemas.openxmlformats.org/officeDocument/2006/relationships/settings" Target="/word/settings.xml" Id="R4adc4ed528664b13" /><Relationship Type="http://schemas.openxmlformats.org/officeDocument/2006/relationships/styles" Target="/word/styles.xml" Id="R384bb4d40ee440e4" /><Relationship Type="http://schemas.openxmlformats.org/officeDocument/2006/relationships/numbering" Target="/word/numbering.xml" Id="R371ee614681349bd" /><Relationship Type="http://schemas.openxmlformats.org/officeDocument/2006/relationships/hyperlink" Target="https://meteor-uat.aihw.gov.au/RegistrationAuthority/14" TargetMode="External" Id="R0316c69fceaa4239" /><Relationship Type="http://schemas.openxmlformats.org/officeDocument/2006/relationships/hyperlink" Target="https://meteor-uat.aihw.gov.au/content/629404" TargetMode="External" Id="Rcfa4b2c8a0e14279" /><Relationship Type="http://schemas.openxmlformats.org/officeDocument/2006/relationships/hyperlink" Target="https://meteor-uat.aihw.gov.au/content/570393" TargetMode="External" Id="R65b94de814104e2a" /><Relationship Type="http://schemas.openxmlformats.org/officeDocument/2006/relationships/hyperlink" Target="https://meteor-uat.aihw.gov.au/content/612027" TargetMode="External" Id="Rbf5097536dfe4c1a" /><Relationship Type="http://schemas.openxmlformats.org/officeDocument/2006/relationships/hyperlink" Target="https://meteor-uat.aihw.gov.au/RegistrationAuthority/14" TargetMode="External" Id="Raaac8aa1e3e64c52" /><Relationship Type="http://schemas.openxmlformats.org/officeDocument/2006/relationships/hyperlink" Target="https://meteor-uat.aihw.gov.au/content/624374" TargetMode="External" Id="R2dde3c5804da41f0" /><Relationship Type="http://schemas.openxmlformats.org/officeDocument/2006/relationships/hyperlink" Target="https://meteor-uat.aihw.gov.au/RegistrationAuthority/14" TargetMode="External" Id="Rfeaf93c3b3c644d0" /><Relationship Type="http://schemas.openxmlformats.org/officeDocument/2006/relationships/hyperlink" Target="http://www.outcomes-umassmed.org/grace" TargetMode="External" Id="R715edf053f2e4b02" /><Relationship Type="http://schemas.openxmlformats.org/officeDocument/2006/relationships/hyperlink" Target="http://www.mdcalc.com/timi-risk-score-for-uanstemi/" TargetMode="External" Id="R8849d79b3fa742ed" /><Relationship Type="http://schemas.openxmlformats.org/officeDocument/2006/relationships/hyperlink" Target="http://heartfoundation.org.au/images/uploads/publications/ACS_therapy_algorithm-printable.pdf" TargetMode="External" Id="Rfb816f6431b341c9" /></Relationships>
</file>

<file path=word/_rels/header1.xml.rels>&#65279;<?xml version="1.0" encoding="utf-8"?><Relationships xmlns="http://schemas.openxmlformats.org/package/2006/relationships"><Relationship Type="http://schemas.openxmlformats.org/officeDocument/2006/relationships/image" Target="/media/image.png" Id="R098f4d792ab34fc8" /></Relationships>
</file>