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efbbe2b12745ea"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5d3cbae1d412c">
              <w:r>
                <w:rPr>
                  <w:rStyle w:val="Hyperlink"/>
                  <w:color w:val="244061"/>
                </w:rPr>
                <w:t xml:space="preserve">AIHW Data Quality Statements</w:t>
              </w:r>
            </w:hyperlink>
            <w:r>
              <w:rPr>
                <w:rStyle w:val="row-content"/>
                <w:color w:val="244061"/>
              </w:rPr>
              <w:t xml:space="preserve">, Standard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2013–14,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 or with a mixture of qualified and unqualified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2013–14, about 18%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r>
              <w:br/>
            </w:r>
            <w:r>
              <w:rPr>
                <w:rStyle w:val="row-content-rich-text"/>
              </w:rPr>
              <w:t xml:space="preserve">        •</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r>
              <w:br/>
            </w:r>
            <w:r>
              <w:rPr>
                <w:rStyle w:val="row-content-rich-text"/>
              </w:rPr>
              <w:t xml:space="preserve">        •</w:t>
            </w:r>
          </w:p>
          <w:p>
            <w:pPr>
              <w:spacing w:after="160"/>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The Indigenous status data in the NHMD for all states and territories are considered of sufficient quality for statistical reporting for 2010–11, 2011–12, 2012–13 and 2013–14.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2013–14,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2013–14.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1e068697bea4f98">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f5d319f4de77403d">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records for admitted patient separations between 1 July 2013 and 30 June 2014.</w:t>
            </w:r>
          </w:p>
          <w:p>
            <w:pPr/>
            <w:r>
              <w:rPr>
                <w:rStyle w:val="row-content-rich-text"/>
              </w:rPr>
              <w:t xml:space="preserve">The agreed date for supply of a first version of data (based on best efforts) was 31 October 2014. Five states and territories provided a first version of 2013–14 data to the AIHW at the end of October 2013 and all had provided their first version by 28 November 2014. A second version of the data was agreed to be supplied by 10 December 2014. All states and territories had provided the second version of the data by 12 December 2014. The data were published on 19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c4fa143fd8ce4a5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42441611c7bd4d94">
              <w:r>
                <w:rPr>
                  <w:rStyle w:val="Hyperlink"/>
                </w:rPr>
                <w:t xml:space="preserve">/content/index.phtml/itemId/181162</w:t>
              </w:r>
            </w:hyperlink>
          </w:p>
          <w:p>
            <w:hyperlink w:history="true" r:id="R9361c305c8464b4b">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2.2% across states and territories.</w:t>
            </w:r>
          </w:p>
          <w:p>
            <w:pPr>
              <w:spacing w:after="160"/>
            </w:pPr>
            <w:r>
              <w:rPr>
                <w:rStyle w:val="row-content-rich-text"/>
              </w:rPr>
              <w:t xml:space="preserve">For 2013–14, principal diagnosis information was not provided for approximately 700 public hospital separations and 600 private hospital separations.</w:t>
            </w:r>
          </w:p>
          <w:p>
            <w:pPr>
              <w:spacing w:after="160"/>
            </w:pPr>
            <w:r>
              <w:rPr>
                <w:rStyle w:val="row-content-rich-text"/>
              </w:rPr>
              <w:t xml:space="preserve">There was variation between states and territories in the reporting of separations for Newborns. For 2013–14:</w:t>
            </w:r>
          </w:p>
          <w:p>
            <w:pPr>
              <w:pStyle w:val="ListParagraph"/>
              <w:numPr>
                <w:ilvl w:val="0"/>
                <w:numId w:val="3"/>
              </w:numPr>
            </w:pPr>
            <w:r>
              <w:rPr>
                <w:rStyle w:val="row-content-rich-text"/>
              </w:rPr>
              <w:t xml:space="preserve">For Victoria, private hospitals did not report all Newborn episodes without qualified days. Therefore, the count of newborns is underestimated. </w:t>
            </w:r>
          </w:p>
          <w:p>
            <w:pPr>
              <w:spacing w:after="160"/>
            </w:pPr>
            <w:r>
              <w:rPr>
                <w:rStyle w:val="row-content-rich-text"/>
              </w:rPr>
              <w:t xml:space="preserve">While the Indigenous status data in the NHMD for all states and territories are considered of sufficient quality for statistical reporting for 2013–14,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2013–14.</w:t>
            </w:r>
          </w:p>
          <w:p>
            <w:pPr>
              <w:spacing w:after="160"/>
            </w:pPr>
            <w:r>
              <w:rPr>
                <w:rStyle w:val="row-content-rich-text"/>
              </w:rPr>
              <w:t xml:space="preserve">The data reported for 2013–14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Changes in the ICD-10-AM/ACHI classifications and the associated Australian Coding Standards may affect the comparability of the data over time. In particular:</w:t>
            </w:r>
          </w:p>
          <w:p>
            <w:pPr>
              <w:pStyle w:val="ListParagraph"/>
              <w:numPr>
                <w:ilvl w:val="0"/>
                <w:numId w:val="4"/>
              </w:numPr>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pPr>
              <w:pStyle w:val="ListParagraph"/>
              <w:numPr>
                <w:ilvl w:val="0"/>
                <w:numId w:val="4"/>
              </w:numPr>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2013–14 are not comparable to the data reported by New South Wales in previous years.</w:t>
            </w:r>
          </w:p>
          <w:p>
            <w:pPr>
              <w:spacing w:after="160"/>
            </w:pPr>
            <w:r>
              <w:rPr>
                <w:rStyle w:val="row-content-rich-text"/>
              </w:rPr>
              <w:t xml:space="preserve">Between 2009–10 and 2013–14, there were changes in coverage or data supply for Victoria, Western Australia and Tasmania that may affect the interpretation of these data:</w:t>
            </w:r>
          </w:p>
          <w:p>
            <w:pPr>
              <w:pStyle w:val="ListParagraph"/>
              <w:numPr>
                <w:ilvl w:val="0"/>
                <w:numId w:val="5"/>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 day mental health care provided in private hospitals was re-categorised as non-admitted patient activity.</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5"/>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5"/>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e51b5180d415a">
              <w:r>
                <w:rPr>
                  <w:rStyle w:val="Hyperlink"/>
                </w:rPr>
                <w:t xml:space="preserve">National Hospital Morbidity Database 2012-13</w:t>
              </w:r>
            </w:hyperlink>
          </w:p>
          <w:p>
            <w:pPr>
              <w:pStyle w:val="registration-status"/>
              <w:spacing w:before="0" w:after="0"/>
            </w:pPr>
            <w:hyperlink w:history="true" r:id="Rc9d5848675a64b66">
              <w:r>
                <w:rPr>
                  <w:rStyle w:val="Hyperlink"/>
                  <w:color w:val="244061"/>
                </w:rPr>
                <w:t xml:space="preserve">AIHW Data Quality Statements</w:t>
              </w:r>
            </w:hyperlink>
            <w:r>
              <w:rPr>
                <w:rStyle w:val="row-content"/>
                <w:color w:val="244061"/>
              </w:rPr>
              <w:t xml:space="preserve">, Superseded 03/06/2015</w:t>
            </w:r>
          </w:p>
          <w:p>
            <w:r>
              <w:br/>
            </w:r>
            <w:r>
              <w:rPr>
                <w:rStyle w:val="row-content"/>
              </w:rPr>
              <w:t xml:space="preserve">Has been superseded by </w:t>
            </w:r>
            <w:hyperlink w:history="true" r:id="R6b4d3f8b61274235">
              <w:r>
                <w:rPr>
                  <w:rStyle w:val="Hyperlink"/>
                </w:rPr>
                <w:t xml:space="preserve">Data quality statement: National Hospital Morbidity Database 2014–15</w:t>
              </w:r>
            </w:hyperlink>
          </w:p>
          <w:p>
            <w:pPr>
              <w:pStyle w:val="registration-status"/>
              <w:spacing w:before="0" w:after="0"/>
            </w:pPr>
            <w:hyperlink w:history="true" r:id="Rcfa3e9ff153a4bf6">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5d24dcd4dffa43d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61c3e0245b4b432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9ded80fa84e47fd">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c492228be3c4c7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ebb398b3bd143de">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202fb52b2d03428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837dda1f52fa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71bd835a3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dda1f52fa4ca8" /><Relationship Type="http://schemas.openxmlformats.org/officeDocument/2006/relationships/header" Target="/word/header1.xml" Id="R58fb81495ec348eb" /><Relationship Type="http://schemas.openxmlformats.org/officeDocument/2006/relationships/settings" Target="/word/settings.xml" Id="Rdeaacd49e6fa4452" /><Relationship Type="http://schemas.openxmlformats.org/officeDocument/2006/relationships/styles" Target="/word/styles.xml" Id="Rb6e6e9c2f9bd4bde" /><Relationship Type="http://schemas.openxmlformats.org/officeDocument/2006/relationships/numbering" Target="/word/numbering.xml" Id="Re2ab28939fc24c60" /><Relationship Type="http://schemas.openxmlformats.org/officeDocument/2006/relationships/hyperlink" Target="https://meteor-uat.aihw.gov.au/RegistrationAuthority/8" TargetMode="External" Id="R9a45d3cbae1d412c" /><Relationship Type="http://schemas.openxmlformats.org/officeDocument/2006/relationships/hyperlink" Target="http://www.aihw.gov.au/" TargetMode="External" Id="R11e068697bea4f98" /><Relationship Type="http://schemas.openxmlformats.org/officeDocument/2006/relationships/hyperlink" Target="https://meteor-uat.aihw.gov.au/content/182135" TargetMode="External" Id="Rf5d319f4de77403d" /><Relationship Type="http://schemas.openxmlformats.org/officeDocument/2006/relationships/hyperlink" Target="http://www.aihw.gov.au/hospitals/" TargetMode="External" Id="Rc4fa143fd8ce4a59" /><Relationship Type="http://schemas.openxmlformats.org/officeDocument/2006/relationships/hyperlink" Target="https://meteor-uat.aihw.gov.au/content/181162" TargetMode="External" Id="R42441611c7bd4d94" /><Relationship Type="http://schemas.openxmlformats.org/officeDocument/2006/relationships/hyperlink" Target="http://www.aihw.gov.au/publication-detail/?id=6442468385" TargetMode="External" Id="R9361c305c8464b4b" /><Relationship Type="http://schemas.openxmlformats.org/officeDocument/2006/relationships/hyperlink" Target="https://meteor-uat.aihw.gov.au/content/568730" TargetMode="External" Id="Rb96e51b5180d415a" /><Relationship Type="http://schemas.openxmlformats.org/officeDocument/2006/relationships/hyperlink" Target="https://meteor-uat.aihw.gov.au/RegistrationAuthority/8" TargetMode="External" Id="Rc9d5848675a64b66" /><Relationship Type="http://schemas.openxmlformats.org/officeDocument/2006/relationships/hyperlink" Target="https://meteor-uat.aihw.gov.au/content/638202" TargetMode="External" Id="R6b4d3f8b61274235" /><Relationship Type="http://schemas.openxmlformats.org/officeDocument/2006/relationships/hyperlink" Target="https://meteor-uat.aihw.gov.au/RegistrationAuthority/8" TargetMode="External" Id="Rcfa3e9ff153a4bf6" /><Relationship Type="http://schemas.openxmlformats.org/officeDocument/2006/relationships/hyperlink" Target="https://meteor-uat.aihw.gov.au/content/724433" TargetMode="External" Id="R5d24dcd4dffa43d0" /><Relationship Type="http://schemas.openxmlformats.org/officeDocument/2006/relationships/hyperlink" Target="https://meteor-uat.aihw.gov.au/RegistrationAuthority/2" TargetMode="External" Id="R61c3e0245b4b4325" /><Relationship Type="http://schemas.openxmlformats.org/officeDocument/2006/relationships/hyperlink" Target="https://meteor-uat.aihw.gov.au/content/736411" TargetMode="External" Id="R19ded80fa84e47fd" /><Relationship Type="http://schemas.openxmlformats.org/officeDocument/2006/relationships/hyperlink" Target="https://meteor-uat.aihw.gov.au/RegistrationAuthority/2" TargetMode="External" Id="Rcc492228be3c4c7e" /><Relationship Type="http://schemas.openxmlformats.org/officeDocument/2006/relationships/hyperlink" Target="https://meteor-uat.aihw.gov.au/content/724443" TargetMode="External" Id="R4ebb398b3bd143de" /><Relationship Type="http://schemas.openxmlformats.org/officeDocument/2006/relationships/hyperlink" Target="https://meteor-uat.aihw.gov.au/RegistrationAuthority/2" TargetMode="External" Id="R202fb52b2d034280" /></Relationships>
</file>

<file path=word/_rels/header1.xml.rels>&#65279;<?xml version="1.0" encoding="utf-8"?><Relationships xmlns="http://schemas.openxmlformats.org/package/2006/relationships"><Relationship Type="http://schemas.openxmlformats.org/officeDocument/2006/relationships/image" Target="/media/image.png" Id="R20171bd835a34285" /></Relationships>
</file>