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dd7a1fafa453c"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283994f56497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9bca8da0cd4e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2264f3ae624fc5">
              <w:r>
                <w:rPr>
                  <w:rStyle w:val="Hyperlink"/>
                </w:rPr>
                <w:t xml:space="preserve">Indigenous community housing dwelling occupancy status cluster</w:t>
              </w:r>
            </w:hyperlink>
          </w:p>
          <w:p>
            <w:pPr>
              <w:pStyle w:val="registration-status"/>
              <w:spacing w:before="0" w:after="0"/>
            </w:pPr>
            <w:hyperlink w:history="true" r:id="R0fd362afbaec4a8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2312c71918e494f">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f5a80238ae4d9a">
              <w:r>
                <w:rPr>
                  <w:rStyle w:val="Hyperlink"/>
                </w:rPr>
                <w:t xml:space="preserve">Dwelling file cluster (Indigenous community housing)</w:t>
              </w:r>
            </w:hyperlink>
          </w:p>
          <w:p>
            <w:pPr>
              <w:pStyle w:val="registration-status"/>
              <w:spacing w:before="0" w:after="0"/>
            </w:pPr>
            <w:hyperlink w:history="true" r:id="R554ff8fd5cc24bf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t xml:space="preserve">1 = Occupied</w:t>
                  </w:r>
                </w:p>
              </w:tc>
              <w:tc>
                <w:tcPr>
                  <w:tcW w:w="3900" w:type="pct"/>
                  <w:vAlign w:val="top"/>
                </w:tcPr>
                <w:p>
                  <w:r>
                    <w:t xml:space="preserve">1 = Yes (Occupied) [Occupancy standard]</w:t>
                  </w:r>
                </w:p>
              </w:tc>
            </w:tr>
            <w:tr>
              <w:trPr/>
              <w:tc>
                <w:tcPr>
                  <w:tcW w:w="1050" w:type="pct"/>
                  <w:vAlign w:val="top"/>
                </w:tcPr>
                <w:p>
                  <w:r>
                    <w:t xml:space="preserve">2 = Untentantable</w:t>
                  </w:r>
                </w:p>
              </w:tc>
              <w:tc>
                <w:tcPr>
                  <w:tcW w:w="3900" w:type="pct"/>
                  <w:vAlign w:val="top"/>
                </w:tcPr>
                <w:p>
                  <w:r>
                    <w:t xml:space="preserve">2 = No (Untenantable) [Tenantability standard]</w:t>
                  </w:r>
                </w:p>
              </w:tc>
            </w:tr>
            <w:tr>
              <w:trPr/>
              <w:tc>
                <w:tcPr>
                  <w:tcW w:w="1050" w:type="pct"/>
                  <w:vAlign w:val="top"/>
                </w:tcPr>
                <w:p>
                  <w:r>
                    <w:t xml:space="preserve">0 = Unoccupied</w:t>
                  </w:r>
                </w:p>
              </w:tc>
              <w:tc>
                <w:tcPr>
                  <w:tcW w:w="3900" w:type="pct"/>
                  <w:vAlign w:val="top"/>
                </w:tcPr>
                <w:p>
                  <w:r>
                    <w:t xml:space="preserve">2 = No (Not Occupied) [Occupancy standard]</w:t>
                  </w:r>
                </w:p>
              </w:tc>
            </w:tr>
            <w:tr>
              <w:trPr/>
              <w:tc>
                <w:tcPr>
                  <w:tcW w:w="1050" w:type="pct"/>
                  <w:vAlign w:val="top"/>
                </w:tcPr>
                <w:p>
                  <w:r>
                    <w:t xml:space="preserve">N/A</w:t>
                  </w:r>
                </w:p>
              </w:tc>
              <w:tc>
                <w:tcPr>
                  <w:tcW w:w="3900" w:type="pct"/>
                  <w:vAlign w:val="top"/>
                </w:tcPr>
                <w:p>
                  <w:r>
                    <w:t xml:space="preserve">1 = Yes (Tenantable) [Tenantability standard]</w:t>
                  </w:r>
                </w:p>
              </w:tc>
            </w:tr>
            <w:tr>
              <w:trPr/>
              <w:tc>
                <w:tcPr>
                  <w:tcW w:w="1050" w:type="pct"/>
                  <w:vAlign w:val="top"/>
                </w:tcPr>
                <w:p>
                  <w:r>
                    <w:t xml:space="preserve">U = Unknown</w:t>
                  </w:r>
                </w:p>
              </w:tc>
              <w:tc>
                <w:tcPr>
                  <w:tcW w:w="3900" w:type="pct"/>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297b42e084c14">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8b459600a46ab">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c6a7f6453f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609066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2273fad25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6a7f6453f4760" /><Relationship Type="http://schemas.openxmlformats.org/officeDocument/2006/relationships/header" Target="/word/header1.xml" Id="R3cfb3f724eab48d0" /><Relationship Type="http://schemas.openxmlformats.org/officeDocument/2006/relationships/settings" Target="/word/settings.xml" Id="R89708c673db14c26" /><Relationship Type="http://schemas.openxmlformats.org/officeDocument/2006/relationships/styles" Target="/word/styles.xml" Id="Rc83e8246ea504e50" /><Relationship Type="http://schemas.openxmlformats.org/officeDocument/2006/relationships/hyperlink" Target="https://meteor-uat.aihw.gov.au/RegistrationAuthority/13" TargetMode="External" Id="R354283994f564978" /><Relationship Type="http://schemas.openxmlformats.org/officeDocument/2006/relationships/hyperlink" Target="https://meteor-uat.aihw.gov.au/content/246013" TargetMode="External" Id="Ref9bca8da0cd4e5b" /><Relationship Type="http://schemas.openxmlformats.org/officeDocument/2006/relationships/hyperlink" Target="https://meteor-uat.aihw.gov.au/content/494607" TargetMode="External" Id="R452264f3ae624fc5" /><Relationship Type="http://schemas.openxmlformats.org/officeDocument/2006/relationships/hyperlink" Target="https://meteor-uat.aihw.gov.au/RegistrationAuthority/13" TargetMode="External" Id="R0fd362afbaec4a85" /><Relationship Type="http://schemas.openxmlformats.org/officeDocument/2006/relationships/hyperlink" Target="https://meteor-uat.aihw.gov.au/RegistrationAuthority/9" TargetMode="External" Id="R92312c71918e494f" /><Relationship Type="http://schemas.openxmlformats.org/officeDocument/2006/relationships/hyperlink" Target="https://meteor-uat.aihw.gov.au/content/605354" TargetMode="External" Id="R31f5a80238ae4d9a" /><Relationship Type="http://schemas.openxmlformats.org/officeDocument/2006/relationships/hyperlink" Target="https://meteor-uat.aihw.gov.au/RegistrationAuthority/13" TargetMode="External" Id="R554ff8fd5cc24bfd" /><Relationship Type="http://schemas.openxmlformats.org/officeDocument/2006/relationships/hyperlink" Target="https://meteor-uat.aihw.gov.au/content/607865" TargetMode="External" Id="R79a297b42e084c14" /><Relationship Type="http://schemas.openxmlformats.org/officeDocument/2006/relationships/hyperlink" Target="https://meteor-uat.aihw.gov.au/content/663114" TargetMode="External" Id="R7a28b459600a46ab" /></Relationships>
</file>

<file path=word/_rels/header1.xml.rels>&#65279;<?xml version="1.0" encoding="utf-8"?><Relationships xmlns="http://schemas.openxmlformats.org/package/2006/relationships"><Relationship Type="http://schemas.openxmlformats.org/officeDocument/2006/relationships/image" Target="/media/image.png" Id="R8652273fad254db8" /></Relationships>
</file>