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90aa091bae41c1"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prescription—bioequivalent allowed indicator, code 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prescription—bioequivalent allowed indicator,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Bioequivalent allowed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Bioequivalent indicator; Brand equivalent allowed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12586f4d844e62">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In pharmacology, this term pertains to two formulations of the same drug that attain similar concentrations in blood and tissues at similar times with no clinically important differences between their therapeutic or adverse effects.&#10;Two medicinal produ..." w:history="true" r:id="R4c2e35da6188466b">
              <w:r>
                <w:rPr>
                  <w:rStyle w:val="Hyperlink"/>
                  <w:b/>
                </w:rPr>
                <w:t xml:space="preserve">bioequivalent</w:t>
              </w:r>
            </w:hyperlink>
            <w:r>
              <w:rPr>
                <w:rStyle w:val="row-content-rich-text"/>
              </w:rPr>
              <w:t xml:space="preserve"> brand of a medicinal product is allowed to be substituted for the brand prescribed from the Schedule of Pharmaceutical Benefits,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7c82a9845e4cd0">
              <w:r>
                <w:rPr>
                  <w:rStyle w:val="Hyperlink"/>
                </w:rPr>
                <w:t xml:space="preserve">Pharmaceutical Benefits Scheme (PBS) prescription—bioequivalent allowed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9b078829b84993">
              <w:r>
                <w:rPr>
                  <w:rStyle w:val="Hyperlink"/>
                </w:rPr>
                <w:t xml:space="preserve">Bioequivalent allowed indicator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Able to be substituted with other 'a flagged' brands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Able to be substituted with other 'b flagged' brands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blank</w:t>
            </w:r>
            <w:r>
              <w:br/>
            </w:r>
            <w:r>
              <w:t xml:space="preserve"> </w:t>
            </w:r>
          </w:p>
        </w:tc>
        <w:tc>
          <w:tcPr>
            <w:tcBorders>
              <w:top w:val="none" w:color="000000" w:sz="0"/>
              <w:left w:val="none" w:color="000000" w:sz="0"/>
              <w:bottom w:val="none" w:color="000000" w:sz="0"/>
              <w:right w:val="none" w:color="000000" w:sz="0"/>
            </w:tcBorders>
            <w:vAlign w:val="top"/>
          </w:tcPr>
          <w:p>
            <w:r>
              <w:t xml:space="preserve">Not able to be substituted with other brands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value domain should be reported in lowercase only.</w:t>
            </w:r>
          </w:p>
          <w:p>
            <w:pPr>
              <w:spacing w:after="160"/>
            </w:pPr>
            <w:r>
              <w:rPr>
                <w:rStyle w:val="row-content-rich-text"/>
              </w:rPr>
              <w:t xml:space="preserve">CODE a   Able to be substituted with other 'a flagged' brands</w:t>
            </w:r>
          </w:p>
          <w:p>
            <w:pPr>
              <w:spacing w:after="160"/>
            </w:pPr>
            <w:r>
              <w:rPr>
                <w:rStyle w:val="row-content-rich-text"/>
              </w:rPr>
              <w:t xml:space="preserve">This code is used to identify those medicinal products for which either:</w:t>
            </w:r>
          </w:p>
          <w:p>
            <w:pPr>
              <w:pStyle w:val="ListParagraph"/>
              <w:numPr>
                <w:ilvl w:val="0"/>
                <w:numId w:val="2"/>
              </w:numPr>
            </w:pPr>
            <w:r>
              <w:rPr>
                <w:rStyle w:val="row-content-rich-text"/>
              </w:rPr>
              <w:t xml:space="preserve">the sponsor of the brand has submitted evidence to the Therapeutic Goods Administration (TGA) that the medicinal product has been demonstrated to be bioequivalent or therapeutically equivalent, or</w:t>
            </w:r>
          </w:p>
          <w:p>
            <w:pPr>
              <w:pStyle w:val="ListParagraph"/>
              <w:numPr>
                <w:ilvl w:val="0"/>
                <w:numId w:val="2"/>
              </w:numPr>
            </w:pPr>
            <w:r>
              <w:rPr>
                <w:rStyle w:val="row-content-rich-text"/>
              </w:rPr>
              <w:t xml:space="preserve">justification for not needing bioequivalence or therapeutic equivalence data has been provided to and accepted by the TGA.</w:t>
            </w:r>
          </w:p>
          <w:p>
            <w:pPr>
              <w:spacing w:after="160"/>
            </w:pPr>
            <w:r>
              <w:rPr>
                <w:rStyle w:val="row-content-rich-text"/>
              </w:rPr>
              <w:t xml:space="preserve">CODE b   Able to be substituted with other 'b flagged' brands</w:t>
            </w:r>
          </w:p>
          <w:p>
            <w:pPr>
              <w:spacing w:after="160"/>
            </w:pPr>
            <w:r>
              <w:rPr>
                <w:rStyle w:val="row-content-rich-text"/>
              </w:rPr>
              <w:t xml:space="preserve">This code is used to identify those brands of medicinal products that are considered to be bioequivalent or therapeutically equivalent, but for which it is not known if there is equivalence between brands marked 'a' and those marked 'b'.</w:t>
            </w:r>
          </w:p>
          <w:p>
            <w:pPr/>
            <w:r>
              <w:rPr>
                <w:rStyle w:val="row-content-rich-text"/>
              </w:rPr>
              <w:t xml:space="preserve">More information about brand equivalence is available from the relevant section of the 'Symbols used in the Schedule' page of the Schedule of Pharmaceutical Benefits - see the Reference documents section below.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2015. Schedule of Pharmaceutical Benefits. Department of Health, Canberra. Viewed 18 September 2015,</w:t>
            </w:r>
            <w:r>
              <w:br/>
            </w:r>
            <w:hyperlink w:history="true" r:id="R18d9e2a1f14440e0">
              <w:r>
                <w:rPr>
                  <w:rStyle w:val="Hyperlink"/>
                </w:rPr>
                <w:t xml:space="preserve">http://www.pbs.gov.au/info/healthpro/explanatory-notes/</w:t>
              </w:r>
              <w:r>
                <w:br/>
              </w:r>
              <w:r>
                <w:rPr>
                  <w:rStyle w:val="row-content-rich-text"/>
                </w:rPr>
                <w:t xml:space="preserve">section2/section-2-symbols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identify different brands of the same drug, form and strength that can be substituted by the pharmacist. The underlying assumption is that the brand has been declared as bioequivalent by the Therapeutic Goods Administration (TGA), following a request by the manufacturer.</w:t>
            </w:r>
          </w:p>
          <w:p>
            <w:pPr>
              <w:spacing w:after="160"/>
            </w:pPr>
            <w:r>
              <w:rPr>
                <w:rStyle w:val="row-content-rich-text"/>
              </w:rPr>
              <w:t xml:space="preserve">Within the Schedule of Pharmaceutical Benefits, bioequivalent medicinal products are flagged as being either 'Brand equivalent a' or 'Brand equivalent b'.</w:t>
            </w:r>
          </w:p>
          <w:p>
            <w:pPr>
              <w:spacing w:after="160"/>
            </w:pPr>
            <w:r>
              <w:rPr>
                <w:rStyle w:val="row-content-rich-text"/>
              </w:rPr>
              <w:t xml:space="preserve">'Brand equivalent a' medicinal products are those for which either:</w:t>
            </w:r>
          </w:p>
          <w:p>
            <w:pPr>
              <w:pStyle w:val="ListParagraph"/>
              <w:numPr>
                <w:ilvl w:val="0"/>
                <w:numId w:val="3"/>
              </w:numPr>
            </w:pPr>
            <w:r>
              <w:rPr>
                <w:rStyle w:val="row-content-rich-text"/>
              </w:rPr>
              <w:t xml:space="preserve">the sponsor of the brand has submitted evidence to the TGA that the medicinal product has been demonstrated to be bioequivalent or therapeutically equivalent, or</w:t>
            </w:r>
          </w:p>
          <w:p>
            <w:pPr>
              <w:pStyle w:val="ListParagraph"/>
              <w:numPr>
                <w:ilvl w:val="0"/>
                <w:numId w:val="3"/>
              </w:numPr>
            </w:pPr>
            <w:r>
              <w:rPr>
                <w:rStyle w:val="row-content-rich-text"/>
              </w:rPr>
              <w:t xml:space="preserve">justification for not needing bioequivalence or therapeutic equivalence data has been provided to and accepted by the TGA.</w:t>
            </w:r>
          </w:p>
          <w:p>
            <w:pPr>
              <w:spacing w:after="160"/>
            </w:pPr>
            <w:r>
              <w:rPr>
                <w:rStyle w:val="row-content-rich-text"/>
              </w:rPr>
              <w:t xml:space="preserve">'Brand equivalent b' medicinal products are those brands that are considered to be bioequivalent or therapeutically equivalent, but for which it is not known if there is equivalence between brands marked 'a' and those marked 'b'.</w:t>
            </w:r>
          </w:p>
          <w:p>
            <w:pPr/>
            <w:r>
              <w:rPr>
                <w:rStyle w:val="row-content-rich-text"/>
              </w:rPr>
              <w:t xml:space="preserve">More information about brand equivalence is available from the relevant section of the 'Symbols used in the Schedule' page of the Schedule of Pharmaceutical Benefits - see the Reference documents section below.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2015. Schedule of Pharmaceutical Benefits. Department of Health, Canberra. Viewed 18 September 2015,</w:t>
            </w:r>
            <w:r>
              <w:br/>
            </w:r>
            <w:hyperlink w:history="true" r:id="Ra5db5d7108f44e7f">
              <w:r>
                <w:rPr>
                  <w:rStyle w:val="Hyperlink"/>
                </w:rPr>
                <w:t xml:space="preserve">http://www.pbs.gov.au/info/healthpro/explanatory-notes/</w:t>
              </w:r>
              <w:r>
                <w:br/>
              </w:r>
              <w:r>
                <w:rPr>
                  <w:rStyle w:val="row-content-rich-text"/>
                </w:rPr>
                <w:t xml:space="preserve">section2/section-2-symbols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3856d7deec47e1">
              <w:r>
                <w:rPr>
                  <w:rStyle w:val="Hyperlink"/>
                </w:rPr>
                <w:t xml:space="preserve">Pharmaceutical Benefits Scheme (PBS) state/territory data extract 2013-14</w:t>
              </w:r>
            </w:hyperlink>
          </w:p>
          <w:p>
            <w:pPr>
              <w:pStyle w:val="registration-status"/>
              <w:spacing w:before="0" w:after="0"/>
            </w:pPr>
            <w:hyperlink w:history="true" r:id="Ra6cc4500c4864820">
              <w:r>
                <w:rPr>
                  <w:rStyle w:val="Hyperlink"/>
                  <w:color w:val="244061"/>
                </w:rPr>
                <w:t xml:space="preserve">Commonwealth Department of Health </w:t>
              </w:r>
            </w:hyperlink>
            <w:r>
              <w:rPr>
                <w:rStyle w:val="row-content"/>
                <w:color w:val="244061"/>
              </w:rPr>
              <w:t xml:space="preserve">, Standard 17/12/2015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BQVLNT_IND</w:t>
            </w:r>
          </w:p>
          <w:p>
            <w:r>
              <w:br/>
            </w:r>
            <w:r>
              <w:br/>
            </w:r>
          </w:p>
        </w:tc>
      </w:tr>
    </w:tbl>
    <w:p/>
    <w:tbl>
      <w:tblPr>
        <w:tblStyle w:val="TableGrid"/>
        <w:tblW w:w="0" w:type="auto"/>
      </w:tblPr>
    </w:tbl>
    <w:p>
      <w:r>
        <w:br/>
      </w:r>
    </w:p>
    <w:sectPr>
      <w:footerReference xmlns:r="http://schemas.openxmlformats.org/officeDocument/2006/relationships" w:type="default" r:id="Rd79c92402dfa4a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605962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8d4e11b87d43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9c92402dfa4a70" /><Relationship Type="http://schemas.openxmlformats.org/officeDocument/2006/relationships/header" Target="/word/header1.xml" Id="Rf5daa923151f4ce6" /><Relationship Type="http://schemas.openxmlformats.org/officeDocument/2006/relationships/settings" Target="/word/settings.xml" Id="R1101b591603b455d" /><Relationship Type="http://schemas.openxmlformats.org/officeDocument/2006/relationships/styles" Target="/word/styles.xml" Id="Rabd25b46a566428b" /><Relationship Type="http://schemas.openxmlformats.org/officeDocument/2006/relationships/numbering" Target="/word/numbering.xml" Id="R023c6daf00ff4dcf" /><Relationship Type="http://schemas.openxmlformats.org/officeDocument/2006/relationships/hyperlink" Target="https://meteor-uat.aihw.gov.au/RegistrationAuthority/12" TargetMode="External" Id="Rd012586f4d844e62" /><Relationship Type="http://schemas.openxmlformats.org/officeDocument/2006/relationships/hyperlink" Target="https://meteor-uat.aihw.gov.au/content/606099" TargetMode="External" Id="R4c2e35da6188466b" /><Relationship Type="http://schemas.openxmlformats.org/officeDocument/2006/relationships/hyperlink" Target="https://meteor-uat.aihw.gov.au/content/605948" TargetMode="External" Id="Re57c82a9845e4cd0" /><Relationship Type="http://schemas.openxmlformats.org/officeDocument/2006/relationships/hyperlink" Target="https://meteor-uat.aihw.gov.au/content/612340" TargetMode="External" Id="R239b078829b84993" /><Relationship Type="http://schemas.openxmlformats.org/officeDocument/2006/relationships/hyperlink" Target="http://www.pbs.gov.au/info/healthpro/explanatory-notes/section2/section-2-symbols" TargetMode="External" Id="R18d9e2a1f14440e0" /><Relationship Type="http://schemas.openxmlformats.org/officeDocument/2006/relationships/hyperlink" Target="http://www.pbs.gov.au/info/healthpro/explanatory-notes/section2/section-2-symbols" TargetMode="External" Id="Ra5db5d7108f44e7f" /><Relationship Type="http://schemas.openxmlformats.org/officeDocument/2006/relationships/hyperlink" Target="https://meteor-uat.aihw.gov.au/content/602524" TargetMode="External" Id="Re43856d7deec47e1" /><Relationship Type="http://schemas.openxmlformats.org/officeDocument/2006/relationships/hyperlink" Target="https://meteor-uat.aihw.gov.au/RegistrationAuthority/12" TargetMode="External" Id="Ra6cc4500c4864820" /></Relationships>
</file>

<file path=word/_rels/header1.xml.rels>&#65279;<?xml version="1.0" encoding="utf-8"?><Relationships xmlns="http://schemas.openxmlformats.org/package/2006/relationships"><Relationship Type="http://schemas.openxmlformats.org/officeDocument/2006/relationships/image" Target="/media/image.png" Id="Rd28d4e11b87d43ee" /></Relationships>
</file>