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49e540df634913"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prescription—Regulation 24 applicable indicator, yes/no code 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prescription—Regulation 24 applicable indicator, yes/no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Regulation 24 applicable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Regulation 24 indicator; Reg 24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785b8c500e48ac">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supply of the original Pharmaceutical Benefits Scheme (PBS) item and all repeats is made at the one time, as represented by a code.</w:t>
            </w:r>
          </w:p>
          <w:p>
            <w:pPr/>
            <w:r>
              <w:rPr>
                <w:rStyle w:val="row-content-rich-text"/>
              </w:rPr>
              <w:t xml:space="preserve">Regulation 24 of the </w:t>
            </w:r>
            <w:r>
              <w:rPr>
                <w:rStyle w:val="row-content-rich-text"/>
                <w:i/>
              </w:rPr>
              <w:t xml:space="preserve">National Health (Pharmaceutical Benefits) Regulations 1960</w:t>
            </w:r>
            <w:r>
              <w:rPr>
                <w:rStyle w:val="row-content-rich-text"/>
              </w:rPr>
              <w:t xml:space="preserve"> (Cwth) allows a pharmacist to supply an original prescription medication and all of its repeats at the one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1e95864b4144b4">
              <w:r>
                <w:rPr>
                  <w:rStyle w:val="Hyperlink"/>
                </w:rPr>
                <w:t xml:space="preserve">Pharmaceutical Benefits Scheme (PBS) prescription—Regulation 24 applicable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c62e43f1fb483b">
              <w:r>
                <w:rPr>
                  <w:rStyle w:val="Hyperlink"/>
                </w:rPr>
                <w:t xml:space="preserve">Yes/no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Regulation 24 prescriptions can only be written by medical practitioners, midwives and nurse practitioners. All of the following conditions must apply:</w:t>
            </w:r>
          </w:p>
          <w:p>
            <w:pPr>
              <w:pStyle w:val="ListParagraph"/>
              <w:numPr>
                <w:ilvl w:val="0"/>
                <w:numId w:val="2"/>
              </w:numPr>
            </w:pPr>
            <w:r>
              <w:rPr>
                <w:rStyle w:val="row-content-rich-text"/>
              </w:rPr>
              <w:t xml:space="preserve">the maximum PBS quantity is insufficient for the patient's treatment; AND</w:t>
            </w:r>
          </w:p>
          <w:p>
            <w:pPr>
              <w:pStyle w:val="ListParagraph"/>
              <w:numPr>
                <w:ilvl w:val="0"/>
                <w:numId w:val="2"/>
              </w:numPr>
            </w:pPr>
            <w:r>
              <w:rPr>
                <w:rStyle w:val="row-content-rich-text"/>
              </w:rPr>
              <w:t xml:space="preserve">the patient has a chronic illness or lives in a remote area where access to PBS supplies is limited; AND</w:t>
            </w:r>
          </w:p>
          <w:p>
            <w:pPr>
              <w:pStyle w:val="ListParagraph"/>
              <w:numPr>
                <w:ilvl w:val="0"/>
                <w:numId w:val="2"/>
              </w:numPr>
            </w:pPr>
            <w:r>
              <w:rPr>
                <w:rStyle w:val="row-content-rich-text"/>
              </w:rPr>
              <w:t xml:space="preserve">the patient would suffer great hardship trying to get the pharmaceutical benefit on separate occasions.</w:t>
            </w:r>
          </w:p>
          <w:p>
            <w:pPr>
              <w:spacing w:after="160"/>
            </w:pPr>
            <w:r>
              <w:rPr>
                <w:rStyle w:val="row-content-rich-text"/>
              </w:rPr>
              <w:t xml:space="preserve">The PBS prescription must be endorsed by the medical practitioner, midwife or nurse practitioner with the words 'Regulation 24' if it is an item under the PBS, or 'hardship conditions apply' if it is being supplied under the Repatriation Pharmaceutical Benefits Scheme (RPBS).</w:t>
            </w:r>
          </w:p>
          <w:p>
            <w:pPr>
              <w:spacing w:after="160"/>
            </w:pPr>
            <w:r>
              <w:rPr>
                <w:rStyle w:val="row-content-rich-text"/>
              </w:rPr>
              <w:t xml:space="preserve">Regulation 24 does not apply for the supply of pharmaceutical benefits on optometrist prescriptions or on dental practitioner prescriptions.</w:t>
            </w:r>
          </w:p>
          <w:p>
            <w:pPr>
              <w:spacing w:after="160"/>
            </w:pPr>
            <w:r>
              <w:rPr>
                <w:rStyle w:val="row-content-rich-text"/>
              </w:rPr>
              <w:t xml:space="preserve">CODE Y   Yes</w:t>
            </w:r>
          </w:p>
          <w:p>
            <w:pPr>
              <w:spacing w:after="160"/>
            </w:pPr>
            <w:r>
              <w:rPr>
                <w:rStyle w:val="row-content-rich-text"/>
              </w:rPr>
              <w:t xml:space="preserve">A positive response to this data element means that Regulation 24 is applicable for the prescription, i.e. the prescription allows for the supply of the original prescription medication and all of its repeats concurrently.</w:t>
            </w:r>
          </w:p>
          <w:p>
            <w:pPr>
              <w:spacing w:after="160"/>
            </w:pPr>
            <w:r>
              <w:rPr>
                <w:rStyle w:val="row-content-rich-text"/>
              </w:rPr>
              <w:t xml:space="preserve">CODE N   No</w:t>
            </w:r>
          </w:p>
          <w:p>
            <w:pPr/>
            <w:r>
              <w:rPr>
                <w:rStyle w:val="row-content-rich-text"/>
              </w:rPr>
              <w:t xml:space="preserve">A negative response to this data element means that Regulation 24 is not applicable, i.e. the prescriber has not specified that the original prescription medication and all of its repeats can be supplied concurrently.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Office of Parliamentary Counsel, ComLaw website 2014. National Health (Pharmaceutical Benefits) Regulations 1960 (Cwth). Office of Parliamentary Counsel, Canberra. Viewed 12 February 2015,</w:t>
            </w:r>
            <w:r>
              <w:br/>
            </w:r>
          </w:p>
          <w:p>
            <w:hyperlink w:history="true" r:id="R01a831783a4945eb">
              <w:r>
                <w:rPr>
                  <w:rStyle w:val="Hyperlink"/>
                </w:rPr>
                <w:t xml:space="preserve">http://www.comlaw.gov.au/Details/F2014C00771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0a2df41ce9b4633">
              <w:r>
                <w:rPr>
                  <w:rStyle w:val="Hyperlink"/>
                </w:rPr>
                <w:t xml:space="preserve">Pharmaceutical Benefits Scheme (PBS) prescription—number of authorised medication supplies, total number N[N]</w:t>
              </w:r>
            </w:hyperlink>
          </w:p>
          <w:p>
            <w:pPr>
              <w:pStyle w:val="registration-status"/>
              <w:spacing w:before="0" w:after="0"/>
            </w:pPr>
            <w:hyperlink w:history="true" r:id="R7b2636d9ebae497e">
              <w:r>
                <w:rPr>
                  <w:rStyle w:val="Hyperlink"/>
                  <w:color w:val="244061"/>
                </w:rPr>
                <w:t xml:space="preserve">Commonwealth Department of Health </w:t>
              </w:r>
            </w:hyperlink>
            <w:r>
              <w:rPr>
                <w:rStyle w:val="row-content"/>
                <w:color w:val="244061"/>
              </w:rPr>
              <w:t xml:space="preserve">, Standard 17/12/2015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06b8c50fbc46ff">
              <w:r>
                <w:rPr>
                  <w:rStyle w:val="Hyperlink"/>
                </w:rPr>
                <w:t xml:space="preserve">Pharmaceutical Benefits Scheme (PBS) state/territory data extract 2013-14</w:t>
              </w:r>
            </w:hyperlink>
          </w:p>
          <w:p>
            <w:pPr>
              <w:pStyle w:val="registration-status"/>
              <w:spacing w:before="0" w:after="0"/>
            </w:pPr>
            <w:hyperlink w:history="true" r:id="R12a77fe2f4334f26">
              <w:r>
                <w:rPr>
                  <w:rStyle w:val="Hyperlink"/>
                  <w:color w:val="244061"/>
                </w:rPr>
                <w:t xml:space="preserve">Commonwealth Department of Health </w:t>
              </w:r>
            </w:hyperlink>
            <w:r>
              <w:rPr>
                <w:rStyle w:val="row-content"/>
                <w:color w:val="244061"/>
              </w:rPr>
              <w:t xml:space="preserve">, Standard 17/12/2015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RGLTN24_IND</w:t>
            </w:r>
          </w:p>
          <w:p>
            <w:r>
              <w:br/>
            </w:r>
            <w:r>
              <w:br/>
            </w:r>
          </w:p>
        </w:tc>
      </w:tr>
    </w:tbl>
    <w:p/>
    <w:tbl>
      <w:tblPr>
        <w:tblStyle w:val="TableGrid"/>
        <w:tblW w:w="0" w:type="auto"/>
      </w:tblPr>
    </w:tbl>
    <w:p>
      <w:r>
        <w:br/>
      </w:r>
    </w:p>
    <w:sectPr>
      <w:footerReference xmlns:r="http://schemas.openxmlformats.org/officeDocument/2006/relationships" w:type="default" r:id="Rd40d5e1b91d941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601746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70f0fe5ce84f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0d5e1b91d941e1" /><Relationship Type="http://schemas.openxmlformats.org/officeDocument/2006/relationships/header" Target="/word/header1.xml" Id="R79ed1b6f34f948ad" /><Relationship Type="http://schemas.openxmlformats.org/officeDocument/2006/relationships/settings" Target="/word/settings.xml" Id="R30a2aba6f1bf4e8f" /><Relationship Type="http://schemas.openxmlformats.org/officeDocument/2006/relationships/styles" Target="/word/styles.xml" Id="Rfbc5aac419314c7d" /><Relationship Type="http://schemas.openxmlformats.org/officeDocument/2006/relationships/numbering" Target="/word/numbering.xml" Id="Reff937b07de248fc" /><Relationship Type="http://schemas.openxmlformats.org/officeDocument/2006/relationships/hyperlink" Target="https://meteor-uat.aihw.gov.au/RegistrationAuthority/12" TargetMode="External" Id="Rf9785b8c500e48ac" /><Relationship Type="http://schemas.openxmlformats.org/officeDocument/2006/relationships/hyperlink" Target="https://meteor-uat.aihw.gov.au/content/601776" TargetMode="External" Id="R171e95864b4144b4" /><Relationship Type="http://schemas.openxmlformats.org/officeDocument/2006/relationships/hyperlink" Target="https://meteor-uat.aihw.gov.au/content/555670" TargetMode="External" Id="Ra2c62e43f1fb483b" /><Relationship Type="http://schemas.openxmlformats.org/officeDocument/2006/relationships/hyperlink" Target="http://www.comlaw.gov.au/Details/F2014C00771" TargetMode="External" Id="R01a831783a4945eb" /><Relationship Type="http://schemas.openxmlformats.org/officeDocument/2006/relationships/hyperlink" Target="https://meteor-uat.aihw.gov.au/content/605072" TargetMode="External" Id="Rc0a2df41ce9b4633" /><Relationship Type="http://schemas.openxmlformats.org/officeDocument/2006/relationships/hyperlink" Target="https://meteor-uat.aihw.gov.au/RegistrationAuthority/12" TargetMode="External" Id="R7b2636d9ebae497e" /><Relationship Type="http://schemas.openxmlformats.org/officeDocument/2006/relationships/hyperlink" Target="https://meteor-uat.aihw.gov.au/content/602524" TargetMode="External" Id="Rd206b8c50fbc46ff" /><Relationship Type="http://schemas.openxmlformats.org/officeDocument/2006/relationships/hyperlink" Target="https://meteor-uat.aihw.gov.au/RegistrationAuthority/12" TargetMode="External" Id="R12a77fe2f4334f26" /></Relationships>
</file>

<file path=word/_rels/header1.xml.rels>&#65279;<?xml version="1.0" encoding="utf-8"?><Relationships xmlns="http://schemas.openxmlformats.org/package/2006/relationships"><Relationship Type="http://schemas.openxmlformats.org/officeDocument/2006/relationships/image" Target="/media/image.png" Id="Ra870f0fe5ce84f42" /></Relationships>
</file>