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397c4579a343c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Very high GP attenders,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Very high GP attenders,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Very high GP attenders,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90a4c8a6d4c7e">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who attended a GP 20 times or more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be49b2afaf4cf6">
              <w:r>
                <w:rPr>
                  <w:rStyle w:val="Hyperlink"/>
                </w:rPr>
                <w:t xml:space="preserve">National Health Performance Authority: Healthy Communities: 2011–</w:t>
              </w:r>
            </w:hyperlink>
          </w:p>
          <w:p>
            <w:pPr>
              <w:pStyle w:val="registration-status"/>
              <w:spacing w:before="0" w:after="0"/>
            </w:pPr>
            <w:hyperlink w:history="true" r:id="Rd6f6269fec944b59">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Very high GP attenders are persons who had 20 or more GP attendances between 1 July 2012 and 30 June 2013.</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non-referred Enhanced Primary Care and 'B' – Non-referred other attendances as published in  quarterly and annual Medicare Benefits Schedule (MBS) statistics by the Department of Human Services and the Department of Health.</w:t>
            </w:r>
          </w:p>
          <w:p>
            <w:pPr>
              <w:spacing w:after="160"/>
            </w:pPr>
            <w:r>
              <w:rPr>
                <w:rStyle w:val="row-content-rich-text"/>
              </w:rPr>
              <w:t xml:space="preserve">Counts of persons who utilised services on the MBS in 2012–13, were created using the unique Medicare Patient Identification Numbers (PINs). Persons who had 20 or more GP attendances in 2012–13 (year of service) were allocated to this cohort at the Australia level, based on the number of GP attendances in the reference year for the PIN in question.</w:t>
            </w:r>
          </w:p>
          <w:p>
            <w:pPr>
              <w:spacing w:after="160"/>
            </w:pPr>
            <w:r>
              <w:rPr>
                <w:rStyle w:val="row-content-rich-text"/>
              </w:rPr>
              <w:t xml:space="preserve">Rates (expressed as a percentage) were directly age-standardised to the 2001 Australian population. In undertaking age standardisation of MBS data, the age of each person was determined from the last MBS service of any type for each PIN, processed by the Department of Human Services up to and including 30 June 2014 for records with a date of service in 2012–13. Where the age for an individual was clearly invalid, it was classified as a data error and excluded in performing the age standardisation process. All MBS services for each individual provided in 2012–13 and processed by 30 June 2014, were attributed to the five year age group (0–4, 5–9, 10–14,…, 80–84, 85+) in question.</w:t>
            </w:r>
            <w:r>
              <w:br/>
            </w:r>
            <w:r>
              <w:rPr>
                <w:rStyle w:val="row-content-rich-text"/>
              </w:rPr>
              <w:t xml:space="preserve">In producing age-standardised results for a Medicare Local catchment or SA3, the following conditions were required as a minimum:</w:t>
            </w:r>
          </w:p>
          <w:p>
            <w:pPr>
              <w:pStyle w:val="ListParagraph"/>
              <w:numPr>
                <w:ilvl w:val="0"/>
                <w:numId w:val="2"/>
              </w:numPr>
            </w:pPr>
            <w:r>
              <w:rPr>
                <w:rStyle w:val="row-content-rich-text"/>
              </w:rPr>
              <w:t xml:space="preserve">A denominator of at least 30 per age group</w:t>
            </w:r>
          </w:p>
          <w:p>
            <w:pPr>
              <w:pStyle w:val="ListParagraph"/>
              <w:numPr>
                <w:ilvl w:val="0"/>
                <w:numId w:val="2"/>
              </w:numPr>
            </w:pPr>
            <w:r>
              <w:rPr>
                <w:rStyle w:val="row-content-rich-text"/>
              </w:rPr>
              <w:t xml:space="preserve">A total number of patients in the population of at least 20</w:t>
            </w:r>
          </w:p>
          <w:p>
            <w:pPr>
              <w:pStyle w:val="ListParagraph"/>
              <w:numPr>
                <w:ilvl w:val="0"/>
                <w:numId w:val="2"/>
              </w:numPr>
            </w:pPr>
            <w:r>
              <w:rPr>
                <w:rStyle w:val="row-content-rich-text"/>
              </w:rPr>
              <w:t xml:space="preserve">A total population count of at least 2,500 for the Medicare Local/SA3</w:t>
            </w:r>
          </w:p>
          <w:p>
            <w:pPr>
              <w:spacing w:after="160"/>
            </w:pPr>
            <w:r>
              <w:rPr>
                <w:rStyle w:val="row-content-rich-text"/>
              </w:rPr>
              <w:t xml:space="preserve">For MBS data, Medicare Local and SA3 were determined using the enrolment postcode for each person from the last MBS service of any type, provided in 2012–13 and processed by the Department of Human Service by 30 June 2014.  All MBS services for each individual provided in 2012–13 and processed by 30 June 2014, were attributed to the postcode in question. Since some postcodes cross regional boundaries, MBS postcode level data were allocated to Medicare Local and SA3 regions using concordance files provided by ABS showing the percentage of the population in each postcode in each region – however each person’s cohort was as determined at the Australia level.</w:t>
            </w:r>
          </w:p>
          <w:p>
            <w:pPr>
              <w:spacing w:after="160"/>
            </w:pPr>
            <w:r>
              <w:rPr>
                <w:rStyle w:val="row-content-rich-text"/>
              </w:rPr>
              <w:t xml:space="preserve">In the postcode to SA3 geographic correspondence file obtained from the ABS, the percentages of the population in a region for a number of postcodes either did not equal or sum to 100%. This was due to boundary misalignment between the original postcode and other maps. Where necessary, the Authority has rescaled these percentages to ensure totals sum to 100%. A small number of postcodes which did not map to a Medicare Local catchment were categorised separately as 'Other' and excluded – these individual numbers were very low.</w:t>
            </w:r>
          </w:p>
          <w:p>
            <w:pPr>
              <w:spacing w:after="160"/>
            </w:pPr>
            <w:r>
              <w:rPr>
                <w:rStyle w:val="row-content-rich-text"/>
              </w:rPr>
              <w:t xml:space="preserve">Before MBS data are published by NHPA all confidential data cells are suppressed.</w:t>
            </w:r>
            <w:r>
              <w:br/>
            </w:r>
            <w:r>
              <w:rPr>
                <w:rStyle w:val="row-content-rich-text"/>
              </w:rPr>
              <w:t xml:space="preserve">The current definition of confidential data is as follows:</w:t>
            </w:r>
          </w:p>
          <w:p>
            <w:pPr>
              <w:pStyle w:val="ListParagraph"/>
              <w:numPr>
                <w:ilvl w:val="0"/>
                <w:numId w:val="3"/>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w:t>
            </w:r>
          </w:p>
          <w:p>
            <w:pPr>
              <w:pStyle w:val="ListParagraph"/>
              <w:numPr>
                <w:ilvl w:val="0"/>
                <w:numId w:val="3"/>
              </w:numPr>
            </w:pPr>
            <w:r>
              <w:rPr>
                <w:rStyle w:val="row-content-rich-text"/>
              </w:rPr>
              <w:t xml:space="preserve">If data on number of services are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2b8c2bbb0a194ff5">
              <w:r>
                <w:rPr>
                  <w:rStyle w:val="Hyperlink"/>
                  <w:b/>
                </w:rPr>
                <w:t xml:space="preserve">Age standardised</w:t>
              </w:r>
            </w:hyperlink>
            <w:r>
              <w:rPr>
                <w:rStyle w:val="row-content-rich-text"/>
              </w:rPr>
              <w:t xml:space="preserve"> using the direct method.</w:t>
            </w:r>
          </w:p>
          <w:p>
            <w:hyperlink w:history="true" r:id="R46f90deb69e84564">
              <w:r>
                <w:drawing>
                  <wp:inline xmlns:wp="http://schemas.openxmlformats.org/drawingml/2006/wordprocessingDrawing" distT="0" distB="0" distL="0" distR="0">
                    <wp:extent cx="1047749" cy="390525"/>
                    <wp:effectExtent l="19050" t="0" r="0" b="0"/>
                    <wp:docPr id="2" name="Picture 2" descr="">
                      <a:hlinkClick xmlns:a="http://schemas.openxmlformats.org/drawingml/2006/main" r:id="R46f90deb69e8456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33c262a42cf46c0"/>
                            <a:srcRect/>
                            <a:stretch>
                              <a:fillRect/>
                            </a:stretch>
                          </pic:blipFill>
                          <pic:spPr bwMode="auto">
                            <a:xfrm>
                              <a:off x="0" y="0"/>
                              <a:ext cx="1047749" cy="3905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20 or more GP attendances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rPr>
              <w:t xml:space="preserve">Medicare Personal Identification Number (PIN) number</w:t>
            </w:r>
            <w:r>
              <w:br/>
            </w:r>
            <w:r>
              <w:rPr>
                <w:rStyle w:val="row-content"/>
              </w:rPr>
              <w:t xml:space="preserve">A unique identifier for each person who is entitled to receive Medicare benefits. The Medicare PIN number does not reveal personal information of the individual and is not based on the Medicare card number.</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4f1cf0f8ab43a6">
              <w:r>
                <w:rPr>
                  <w:rStyle w:val="Hyperlink"/>
                </w:rPr>
                <w:t xml:space="preserve">Person—age, total years 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78d0ee644648ab">
              <w:r>
                <w:rPr>
                  <w:rStyle w:val="Hyperlink"/>
                </w:rPr>
                <w:t xml:space="preserve">Address—Australian postcode, Australian postcode code (Postcode datafile) {NNNN}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1e8929fe0c4843">
              <w:r>
                <w:rPr>
                  <w:rStyle w:val="Hyperlink"/>
                </w:rPr>
                <w:t xml:space="preserve">Person—General Practitioner attendance indicator, yes/no code N</w:t>
              </w:r>
            </w:hyperlink>
          </w:p>
          <w:p>
            <w:r>
              <w:rPr>
                <w:rStyle w:val="row-content"/>
                <w:b/>
              </w:rPr>
              <w:t xml:space="preserve">Data Source</w:t>
            </w:r>
          </w:p>
          <w:p>
            <w:hyperlink w:history="true" r:id="Rdda30e61068b4ae2">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c089c0cae7469d">
              <w:r>
                <w:rPr>
                  <w:rStyle w:val="Hyperlink"/>
                </w:rPr>
                <w:t xml:space="preserve">Person—estimated resident population of Australia, total people N[N(7)]</w:t>
              </w:r>
            </w:hyperlink>
          </w:p>
          <w:p>
            <w:r>
              <w:rPr>
                <w:rStyle w:val="row-content"/>
                <w:b/>
              </w:rPr>
              <w:t xml:space="preserve">Data Source</w:t>
            </w:r>
          </w:p>
          <w:p>
            <w:hyperlink w:history="true" r:id="R6f32b7cce71c445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f75e5e03dc4b2d">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d52a34d859cb4004">
              <w:r>
                <w:rPr>
                  <w:rStyle w:val="Hyperlink"/>
                </w:rPr>
                <w:t xml:space="preserve">Administrative health region—Medicare Local identifier, code AANNN</w:t>
              </w:r>
            </w:hyperlink>
          </w:p>
          <w:p>
            <w:r>
              <w:rPr>
                <w:rStyle w:val="row-content"/>
              </w:rPr>
              <w:t xml:space="preserve"> </w:t>
            </w:r>
          </w:p>
          <w:p>
            <w:r>
              <w:rPr>
                <w:rStyle w:val="row-content"/>
                <w:b/>
                <w:color w:val="000000"/>
              </w:rPr>
              <w:t xml:space="preserve">Data Element / Data Set</w:t>
            </w:r>
          </w:p>
          <w:p>
            <w:hyperlink w:history="true" r:id="R7700ea2c212a4ec6">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c4991568364ef6">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a80d40f050485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28c14c54b584d8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4aecc6a2b74420">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Frequent GP attenders and their use of health services in 2012–13, Technical Supplement.</w:t>
            </w:r>
            <w:r>
              <w:br/>
            </w:r>
            <w:r>
              <w:rPr>
                <w:rStyle w:val="row-content-rich-text"/>
              </w:rPr>
              <w:t xml:space="preserve"> </w:t>
            </w:r>
          </w:p>
        </w:tc>
      </w:tr>
    </w:tbl>
    <w:p>
      <w:r>
        <w:br/>
      </w:r>
    </w:p>
    <w:sectPr>
      <w:footerReference xmlns:r="http://schemas.openxmlformats.org/officeDocument/2006/relationships" w:type="default" r:id="R2eeb489c215d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a30b5684e42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eb489c215d4914" /><Relationship Type="http://schemas.openxmlformats.org/officeDocument/2006/relationships/header" Target="/word/header1.xml" Id="R987f694d62154c64" /><Relationship Type="http://schemas.openxmlformats.org/officeDocument/2006/relationships/settings" Target="/word/settings.xml" Id="R5ab4a7a59abd445e" /><Relationship Type="http://schemas.openxmlformats.org/officeDocument/2006/relationships/styles" Target="/word/styles.xml" Id="R63c1f2eee1b34fa3" /><Relationship Type="http://schemas.openxmlformats.org/officeDocument/2006/relationships/numbering" Target="/word/numbering.xml" Id="R85d0a16cfbea4fd8" /><Relationship Type="http://schemas.openxmlformats.org/officeDocument/2006/relationships/image" Target="/media/image.gif" Id="R033c262a42cf46c0" /><Relationship Type="http://schemas.openxmlformats.org/officeDocument/2006/relationships/hyperlink" Target="https://meteor-uat.aihw.gov.au/RegistrationAuthority/10" TargetMode="External" Id="R94390a4c8a6d4c7e" /><Relationship Type="http://schemas.openxmlformats.org/officeDocument/2006/relationships/hyperlink" Target="https://meteor-uat.aihw.gov.au/content/550329" TargetMode="External" Id="Rddbe49b2afaf4cf6" /><Relationship Type="http://schemas.openxmlformats.org/officeDocument/2006/relationships/hyperlink" Target="https://meteor-uat.aihw.gov.au/RegistrationAuthority/10" TargetMode="External" Id="Rd6f6269fec944b59" /><Relationship Type="http://schemas.openxmlformats.org/officeDocument/2006/relationships/hyperlink" Target="https://meteor-uat.aihw.gov.au/content/327276" TargetMode="External" Id="R2b8c2bbb0a194ff5" /><Relationship Type="http://schemas.openxmlformats.org/officeDocument/2006/relationships/hyperlink" Target="https://meteor-uat.aihw.gov.au/content/604107" TargetMode="External" Id="R46f90deb69e84564" /><Relationship Type="http://schemas.openxmlformats.org/officeDocument/2006/relationships/hyperlink" Target="https://meteor-uat.aihw.gov.au/content/303794" TargetMode="External" Id="R874f1cf0f8ab43a6" /><Relationship Type="http://schemas.openxmlformats.org/officeDocument/2006/relationships/hyperlink" Target="https://meteor-uat.aihw.gov.au/content/429894" TargetMode="External" Id="R7a78d0ee644648ab" /><Relationship Type="http://schemas.openxmlformats.org/officeDocument/2006/relationships/hyperlink" Target="https://meteor-uat.aihw.gov.au/content/603651" TargetMode="External" Id="Ra81e8929fe0c4843" /><Relationship Type="http://schemas.openxmlformats.org/officeDocument/2006/relationships/hyperlink" Target="https://meteor-uat.aihw.gov.au/content/394305" TargetMode="External" Id="Rdda30e61068b4ae2" /><Relationship Type="http://schemas.openxmlformats.org/officeDocument/2006/relationships/hyperlink" Target="https://meteor-uat.aihw.gov.au/content/388656" TargetMode="External" Id="Rf9c089c0cae7469d" /><Relationship Type="http://schemas.openxmlformats.org/officeDocument/2006/relationships/hyperlink" Target="https://meteor-uat.aihw.gov.au/content/393625" TargetMode="External" Id="R6f32b7cce71c445c" /><Relationship Type="http://schemas.openxmlformats.org/officeDocument/2006/relationships/hyperlink" Target="https://meteor-uat.aihw.gov.au/content/457293" TargetMode="External" Id="R91f75e5e03dc4b2d" /><Relationship Type="http://schemas.openxmlformats.org/officeDocument/2006/relationships/hyperlink" Target="https://meteor-uat.aihw.gov.au/content/513288" TargetMode="External" Id="Rd52a34d859cb4004" /><Relationship Type="http://schemas.openxmlformats.org/officeDocument/2006/relationships/hyperlink" Target="https://meteor-uat.aihw.gov.au/content/550733" TargetMode="External" Id="R7700ea2c212a4ec6" /><Relationship Type="http://schemas.openxmlformats.org/officeDocument/2006/relationships/hyperlink" Target="https://meteor-uat.aihw.gov.au/content/554927" TargetMode="External" Id="R34c4991568364ef6" /><Relationship Type="http://schemas.openxmlformats.org/officeDocument/2006/relationships/hyperlink" Target="https://meteor-uat.aihw.gov.au/content/393625" TargetMode="External" Id="Rf8a80d40f0504854" /><Relationship Type="http://schemas.openxmlformats.org/officeDocument/2006/relationships/hyperlink" Target="https://meteor-uat.aihw.gov.au/content/449216" TargetMode="External" Id="Ra28c14c54b584d85" /><Relationship Type="http://schemas.openxmlformats.org/officeDocument/2006/relationships/hyperlink" Target="https://meteor-uat.aihw.gov.au/content/394305" TargetMode="External" Id="R1a4aecc6a2b74420" /></Relationships>
</file>

<file path=word/_rels/header1.xml.rels>&#65279;<?xml version="1.0" encoding="utf-8"?><Relationships xmlns="http://schemas.openxmlformats.org/package/2006/relationships"><Relationship Type="http://schemas.openxmlformats.org/officeDocument/2006/relationships/image" Target="/media/image.png" Id="Raa8a30b5684e42fc" /></Relationships>
</file>