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633af5d2cf4fe2" /></Relationships>
</file>

<file path=word/document.xml><?xml version="1.0" encoding="utf-8"?>
<w:document xmlns:r="http://schemas.openxmlformats.org/officeDocument/2006/relationships" xmlns:w="http://schemas.openxmlformats.org/wordprocessingml/2006/main">
  <w:body>
    <w:p>
      <w:pPr>
        <w:pStyle w:val="Title"/>
      </w:pPr>
      <w:r>
        <w:t>3.9 Average length of stay for hip fracture patients aged 65 years and over, major and large public hospitals,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​3.9 Average length of stay for hip fracture patients aged 65 years and over, major and large public hospitals,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Hip fracture average length of stay in hospital by peer group, 65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ALOS fractured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e41d5293449e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d357d9438394a4f">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(mean) length of stay (number of days) for multi-day stay hip fracture patients aged 65 years and over, major and large public hospitals,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a785aa8ea44cfc">
              <w:r>
                <w:rPr>
                  <w:rStyle w:val="Hyperlink"/>
                </w:rPr>
                <w:t xml:space="preserve">Australian Atlas of Healthcare Variation </w:t>
              </w:r>
            </w:hyperlink>
          </w:p>
          <w:p>
            <w:pPr>
              <w:pStyle w:val="registration-status"/>
              <w:spacing w:before="0" w:after="0"/>
            </w:pPr>
            <w:hyperlink w:history="true" r:id="R35ead9678e2546f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e3beadb27b5472c">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the average number of days, by hospital</w:t>
            </w:r>
          </w:p>
          <w:p>
            <w:pPr>
              <w:spacing w:after="160"/>
            </w:pPr>
            <w:r>
              <w:rPr>
                <w:rStyle w:val="row-content-rich-text"/>
              </w:rPr>
              <w:t xml:space="preserve">Only hospitals in the major and large peer groups and which had at least 10 separations were included in the analysis. For more information about these peer groups see </w:t>
            </w:r>
            <w:hyperlink w:history="true" r:id="Rbe5afc042a964f26">
              <w:r>
                <w:rPr>
                  <w:rStyle w:val="Hyperlink"/>
                </w:rPr>
                <w:t xml:space="preserve">/content/index.phtml/itemId/584666</w:t>
              </w:r>
            </w:hyperlink>
          </w:p>
          <w:p>
            <w:pPr>
              <w:spacing w:after="160"/>
            </w:pPr>
            <w:r>
              <w:rPr>
                <w:rStyle w:val="row-content-rich-text"/>
              </w:rPr>
              <w:t xml:space="preserve">To calculate the average length of stay the key unit that records information about a patient's stay in hospital is called an 'episode of admitted patient care'. This records information about the patient and the care they received in hospital, including:</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Diagnosis</w:t>
            </w:r>
          </w:p>
          <w:p>
            <w:pPr>
              <w:pStyle w:val="ListParagraph"/>
              <w:numPr>
                <w:ilvl w:val="0"/>
                <w:numId w:val="2"/>
              </w:numPr>
            </w:pPr>
            <w:r>
              <w:rPr>
                <w:rStyle w:val="row-content-rich-text"/>
              </w:rPr>
              <w:t xml:space="preserve">Procedure type</w:t>
            </w:r>
          </w:p>
          <w:p>
            <w:pPr>
              <w:pStyle w:val="ListParagraph"/>
              <w:numPr>
                <w:ilvl w:val="0"/>
                <w:numId w:val="2"/>
              </w:numPr>
            </w:pPr>
            <w:r>
              <w:rPr>
                <w:rStyle w:val="row-content-rich-text"/>
              </w:rPr>
              <w:t xml:space="preserve">Date of admission and</w:t>
            </w:r>
          </w:p>
          <w:p>
            <w:pPr>
              <w:pStyle w:val="ListParagraph"/>
              <w:numPr>
                <w:ilvl w:val="0"/>
                <w:numId w:val="2"/>
              </w:numPr>
            </w:pPr>
            <w:r>
              <w:rPr>
                <w:rStyle w:val="row-content-rich-text"/>
              </w:rPr>
              <w:t xml:space="preserve">Date of separation/discharge.</w:t>
            </w:r>
          </w:p>
          <w:p>
            <w:pPr>
              <w:spacing w:after="160"/>
            </w:pPr>
            <w:r>
              <w:rPr>
                <w:rStyle w:val="row-content-rich-text"/>
                <w:b/>
              </w:rPr>
              <w:t xml:space="preserve">Exclusions:</w:t>
            </w:r>
          </w:p>
          <w:p>
            <w:pPr>
              <w:spacing w:after="160"/>
            </w:pPr>
            <w:r>
              <w:rPr>
                <w:rStyle w:val="row-content-rich-text"/>
              </w:rPr>
              <w:t xml:space="preserve">The average length of stay indicator relates only to acute patients with a multi-day, or overnight, stay. The following episodes of care are excluded from all reported measures:</w:t>
            </w:r>
          </w:p>
          <w:p>
            <w:pPr>
              <w:pStyle w:val="ListParagraph"/>
              <w:numPr>
                <w:ilvl w:val="0"/>
                <w:numId w:val="3"/>
              </w:numPr>
            </w:pPr>
            <w:r>
              <w:rPr>
                <w:rStyle w:val="row-content-rich-text"/>
              </w:rPr>
              <w:t xml:space="preserve">Same day episodes, i.e. patients admitted and discharged on the same day</w:t>
            </w:r>
          </w:p>
          <w:p>
            <w:pPr>
              <w:pStyle w:val="ListParagraph"/>
              <w:numPr>
                <w:ilvl w:val="0"/>
                <w:numId w:val="3"/>
              </w:numPr>
            </w:pPr>
            <w:r>
              <w:rPr>
                <w:rStyle w:val="row-content-rich-text"/>
              </w:rPr>
              <w:t xml:space="preserve">Episodes for non-acute care</w:t>
            </w:r>
          </w:p>
          <w:p>
            <w:pPr>
              <w:pStyle w:val="ListParagraph"/>
              <w:numPr>
                <w:ilvl w:val="0"/>
                <w:numId w:val="3"/>
              </w:numPr>
            </w:pPr>
            <w:r>
              <w:rPr>
                <w:rStyle w:val="row-content-rich-text"/>
              </w:rPr>
              <w:t xml:space="preserve">Episodes where the patient died</w:t>
            </w:r>
          </w:p>
          <w:p>
            <w:pPr>
              <w:pStyle w:val="ListParagraph"/>
              <w:numPr>
                <w:ilvl w:val="0"/>
                <w:numId w:val="3"/>
              </w:numPr>
            </w:pPr>
            <w:r>
              <w:rPr>
                <w:rStyle w:val="row-content-rich-text"/>
              </w:rPr>
              <w:t xml:space="preserve">Episodes where the patient transferred to another facility within 2 days.</w:t>
            </w:r>
          </w:p>
          <w:p>
            <w:pPr>
              <w:spacing w:after="160"/>
            </w:pPr>
            <w:r>
              <w:rPr>
                <w:rStyle w:val="row-content-rich-text"/>
                <w:b/>
              </w:rPr>
              <w:t xml:space="preserve">Outlier removal:</w:t>
            </w:r>
            <w:r>
              <w:rPr>
                <w:rStyle w:val="row-content-rich-text"/>
              </w:rPr>
              <w:t xml:space="preserve"> </w:t>
            </w:r>
          </w:p>
          <w:p>
            <w:pPr>
              <w:spacing w:after="160"/>
            </w:pPr>
            <w:r>
              <w:rPr>
                <w:rStyle w:val="row-content-rich-text"/>
              </w:rPr>
              <w:t xml:space="preserve">Episodes determined to be extreme long stay outliers were removed. Outlier bounds are derived for each AR-DRG. The method selected for deriving national level outlier bounds uses the inter-quartile ranges as the guide for outlier exclusion. The method of detecting extreme outliers (mEO) is as follows:</w:t>
            </w:r>
          </w:p>
          <w:p>
            <w:pPr>
              <w:spacing w:after="160"/>
            </w:pPr>
            <w:r>
              <w:rPr>
                <w:rStyle w:val="row-content-rich-text"/>
              </w:rPr>
              <w:t xml:space="preserve">mEO = Q</w:t>
            </w:r>
            <w:r>
              <w:rPr>
                <w:rStyle w:val="row-content-rich-text"/>
                <w:vertAlign w:val="subscript"/>
              </w:rPr>
              <w:t xml:space="preserve">3 </w:t>
            </w:r>
            <w:r>
              <w:rPr>
                <w:rStyle w:val="row-content-rich-text"/>
              </w:rPr>
              <w:t xml:space="preserve">+ k*(Q</w:t>
            </w:r>
            <w:r>
              <w:rPr>
                <w:rStyle w:val="row-content-rich-text"/>
                <w:vertAlign w:val="subscript"/>
              </w:rPr>
              <w:t xml:space="preserve">3</w:t>
            </w:r>
            <w:r>
              <w:rPr>
                <w:rStyle w:val="row-content-rich-text"/>
              </w:rPr>
              <w:t xml:space="preserve">-Q</w:t>
            </w:r>
            <w:r>
              <w:rPr>
                <w:rStyle w:val="row-content-rich-text"/>
                <w:vertAlign w:val="subscript"/>
              </w:rPr>
              <w:t xml:space="preserve">1</w:t>
            </w:r>
            <w:r>
              <w:rPr>
                <w:rStyle w:val="row-content-rich-text"/>
              </w:rPr>
              <w:t xml:space="preserve">)</w:t>
            </w:r>
          </w:p>
          <w:p>
            <w:pPr>
              <w:spacing w:after="160"/>
            </w:pPr>
            <w:r>
              <w:rPr>
                <w:rStyle w:val="row-content-rich-text"/>
              </w:rPr>
              <w:t xml:space="preserve">Where</w:t>
            </w:r>
          </w:p>
          <w:p>
            <w:pPr>
              <w:spacing w:after="160"/>
            </w:pPr>
            <w:r>
              <w:rPr>
                <w:rStyle w:val="row-content-rich-text"/>
              </w:rPr>
              <w:t xml:space="preserve">Q</w:t>
            </w:r>
            <w:r>
              <w:rPr>
                <w:rStyle w:val="row-content-rich-text"/>
                <w:vertAlign w:val="subscript"/>
              </w:rPr>
              <w:t xml:space="preserve">1</w:t>
            </w:r>
            <w:r>
              <w:rPr>
                <w:rStyle w:val="row-content-rich-text"/>
              </w:rPr>
              <w:t xml:space="preserve"> equals the 25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Q</w:t>
            </w:r>
            <w:r>
              <w:rPr>
                <w:rStyle w:val="row-content-rich-text"/>
                <w:vertAlign w:val="subscript"/>
              </w:rPr>
              <w:t xml:space="preserve">3</w:t>
            </w:r>
            <w:r>
              <w:rPr>
                <w:rStyle w:val="row-content-rich-text"/>
              </w:rPr>
              <w:t xml:space="preserve"> equals the 75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k equals non-negative values of a constant.</w:t>
            </w:r>
          </w:p>
          <w:p>
            <w:pPr/>
            <w:r>
              <w:rPr>
                <w:rStyle w:val="row-content-rich-text"/>
              </w:rPr>
              <w:t xml:space="preserve">Sensitivity analysis was conducted to identify k and resulted in k=10 being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bed days at major and large public hospitals attributable to hip fracture in patients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a2bb714694412b">
              <w:r>
                <w:rPr>
                  <w:rStyle w:val="Hyperlink"/>
                </w:rPr>
                <w:t xml:space="preserve">Episode of admitted patient care—length of stay (excluding leave days), total N[NN]</w:t>
              </w:r>
            </w:hyperlink>
          </w:p>
          <w:p>
            <w:r>
              <w:rPr>
                <w:rStyle w:val="row-content"/>
                <w:b/>
              </w:rPr>
              <w:t xml:space="preserve">Data Source</w:t>
            </w:r>
          </w:p>
          <w:p>
            <w:hyperlink w:history="true" r:id="R2e26f48f9e3f484b">
              <w:r>
                <w:rPr>
                  <w:rStyle w:val="Hyperlink"/>
                </w:rPr>
                <w:t xml:space="preserve">National Hospital Morbidity Database (NHMD)</w:t>
              </w:r>
            </w:hyperlink>
          </w:p>
          <w:p>
            <w:r>
              <w:rPr>
                <w:rStyle w:val="row-content"/>
                <w:b/>
              </w:rPr>
              <w:t xml:space="preserve">NMDS / DSS</w:t>
            </w:r>
          </w:p>
          <w:p>
            <w:hyperlink w:history="true" r:id="R472de9457dc34dec">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61c9c732164452">
              <w:r>
                <w:rPr>
                  <w:rStyle w:val="Hyperlink"/>
                </w:rPr>
                <w:t xml:space="preserve">Person—date of birth, DDMMYYYY</w:t>
              </w:r>
            </w:hyperlink>
          </w:p>
          <w:p>
            <w:r>
              <w:rPr>
                <w:rStyle w:val="row-content"/>
                <w:b/>
              </w:rPr>
              <w:t xml:space="preserve">Data Source</w:t>
            </w:r>
          </w:p>
          <w:p>
            <w:hyperlink w:history="true" r:id="R307f2fd00fe246f2">
              <w:r>
                <w:rPr>
                  <w:rStyle w:val="Hyperlink"/>
                </w:rPr>
                <w:t xml:space="preserve">National Hospital Morbidity Database (NHMD)</w:t>
              </w:r>
            </w:hyperlink>
          </w:p>
          <w:p>
            <w:r>
              <w:rPr>
                <w:rStyle w:val="row-content"/>
                <w:b/>
              </w:rPr>
              <w:t xml:space="preserve">NMDS / DSS</w:t>
            </w:r>
          </w:p>
          <w:p>
            <w:hyperlink w:history="true" r:id="Ra3abc977a76c4dd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calculate 65 years and over age group.</w:t>
            </w:r>
          </w:p>
          <w:p>
            <w:r>
              <w:rPr>
                <w:rStyle w:val="row-content"/>
              </w:rPr>
              <w:t xml:space="preserve"> </w:t>
            </w:r>
          </w:p>
          <w:p>
            <w:r>
              <w:rPr>
                <w:rStyle w:val="row-content"/>
                <w:b/>
                <w:color w:val="000000"/>
              </w:rPr>
              <w:t xml:space="preserve">Data Element / Data Set</w:t>
            </w:r>
          </w:p>
          <w:p>
            <w:hyperlink w:history="true" r:id="R759e7318126d49a9">
              <w:r>
                <w:rPr>
                  <w:rStyle w:val="Hyperlink"/>
                </w:rPr>
                <w:t xml:space="preserve">Episode of care—additional diagnosis, code (ICD-10-AM 7th edn) ANN{.N[N]}</w:t>
              </w:r>
            </w:hyperlink>
          </w:p>
          <w:p>
            <w:r>
              <w:rPr>
                <w:rStyle w:val="row-content"/>
                <w:b/>
              </w:rPr>
              <w:t xml:space="preserve">Data Source</w:t>
            </w:r>
          </w:p>
          <w:p>
            <w:hyperlink w:history="true" r:id="Rbcf32a0754764629">
              <w:r>
                <w:rPr>
                  <w:rStyle w:val="Hyperlink"/>
                </w:rPr>
                <w:t xml:space="preserve">National Hospital Morbidity Database (NHMD)</w:t>
              </w:r>
            </w:hyperlink>
          </w:p>
          <w:p>
            <w:r>
              <w:rPr>
                <w:rStyle w:val="row-content"/>
                <w:b/>
              </w:rPr>
              <w:t xml:space="preserve">NMDS / DSS</w:t>
            </w:r>
          </w:p>
          <w:p>
            <w:hyperlink w:history="true" r:id="R82abf6c699b0489e">
              <w:r>
                <w:rPr>
                  <w:rStyle w:val="Hyperlink"/>
                </w:rPr>
                <w:t xml:space="preserve">Admitted patient care NMDS 2012-13</w:t>
              </w:r>
            </w:hyperlink>
          </w:p>
          <w:p>
            <w:r>
              <w:rPr>
                <w:rStyle w:val="row-content"/>
                <w:b/>
              </w:rPr>
              <w:t xml:space="preserve">Guide for use</w:t>
            </w:r>
          </w:p>
          <w:p>
            <w:r>
              <w:rPr>
                <w:rStyle w:val="row-content"/>
                <w:b/>
              </w:rPr>
              <w:t xml:space="preserve">Inclusion codes for Principal and Additional diagnosis:</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S72.00</w:t>
                  </w:r>
                </w:p>
              </w:tc>
              <w:tc>
                <w:tcPr>
                  <w:tcW w:w="4000" w:type="pct"/>
                  <w:vAlign w:val="top"/>
                </w:tcPr>
                <w:p>
                  <w:r>
                    <w:t xml:space="preserve">Fracture of neck of femur, part unspecified </w:t>
                  </w:r>
                </w:p>
              </w:tc>
            </w:tr>
            <w:tr>
              <w:trPr/>
              <w:tc>
                <w:tcPr>
                  <w:tcW w:w="1000" w:type="pct"/>
                  <w:vAlign w:val="top"/>
                </w:tcPr>
                <w:p>
                  <w:r>
                    <w:t xml:space="preserve">S72.01</w:t>
                  </w:r>
                </w:p>
              </w:tc>
              <w:tc>
                <w:tcPr>
                  <w:tcW w:w="4000" w:type="pct"/>
                  <w:vAlign w:val="top"/>
                </w:tcPr>
                <w:p>
                  <w:r>
                    <w:t xml:space="preserve">Fracture of intracapsular section of femur.</w:t>
                  </w:r>
                </w:p>
              </w:tc>
            </w:tr>
            <w:tr>
              <w:trPr/>
              <w:tc>
                <w:tcPr>
                  <w:tcW w:w="1000" w:type="pct"/>
                  <w:vAlign w:val="top"/>
                </w:tcPr>
                <w:p>
                  <w:r>
                    <w:t xml:space="preserve">S72.02</w:t>
                  </w:r>
                </w:p>
              </w:tc>
              <w:tc>
                <w:tcPr>
                  <w:tcW w:w="4000" w:type="pct"/>
                  <w:vAlign w:val="top"/>
                </w:tcPr>
                <w:p>
                  <w:r>
                    <w:t xml:space="preserve">Fracture of upper epiphysis (separation) of femur</w:t>
                  </w:r>
                </w:p>
              </w:tc>
            </w:tr>
            <w:tr>
              <w:trPr/>
              <w:tc>
                <w:tcPr>
                  <w:tcW w:w="1000" w:type="pct"/>
                  <w:vAlign w:val="top"/>
                </w:tcPr>
                <w:p>
                  <w:r>
                    <w:t xml:space="preserve">S72.03</w:t>
                  </w:r>
                </w:p>
              </w:tc>
              <w:tc>
                <w:tcPr>
                  <w:tcW w:w="4000" w:type="pct"/>
                  <w:vAlign w:val="top"/>
                </w:tcPr>
                <w:p>
                  <w:r>
                    <w:t xml:space="preserve">Fracture of subcapital section of femur</w:t>
                  </w:r>
                </w:p>
              </w:tc>
            </w:tr>
            <w:tr>
              <w:trPr/>
              <w:tc>
                <w:tcPr>
                  <w:tcW w:w="1000" w:type="pct"/>
                  <w:vAlign w:val="top"/>
                </w:tcPr>
                <w:p>
                  <w:r>
                    <w:t xml:space="preserve">S72.04</w:t>
                  </w:r>
                </w:p>
              </w:tc>
              <w:tc>
                <w:tcPr>
                  <w:tcW w:w="4000" w:type="pct"/>
                  <w:vAlign w:val="top"/>
                </w:tcPr>
                <w:p>
                  <w:r>
                    <w:t xml:space="preserve">Fracture of midcervical section of femur</w:t>
                  </w:r>
                </w:p>
              </w:tc>
            </w:tr>
            <w:tr>
              <w:trPr/>
              <w:tc>
                <w:tcPr>
                  <w:tcW w:w="1000" w:type="pct"/>
                  <w:vAlign w:val="top"/>
                </w:tcPr>
                <w:p>
                  <w:r>
                    <w:t xml:space="preserve">S72.05</w:t>
                  </w:r>
                </w:p>
              </w:tc>
              <w:tc>
                <w:tcPr>
                  <w:tcW w:w="4000" w:type="pct"/>
                  <w:vAlign w:val="top"/>
                </w:tcPr>
                <w:p>
                  <w:r>
                    <w:t xml:space="preserve">Fracture of base of neck of femur</w:t>
                  </w:r>
                </w:p>
              </w:tc>
            </w:tr>
            <w:tr>
              <w:trPr/>
              <w:tc>
                <w:tcPr>
                  <w:tcW w:w="1000" w:type="pct"/>
                  <w:vAlign w:val="top"/>
                </w:tcPr>
                <w:p>
                  <w:r>
                    <w:t xml:space="preserve">S72.08</w:t>
                  </w:r>
                </w:p>
              </w:tc>
              <w:tc>
                <w:tcPr>
                  <w:tcW w:w="4000" w:type="pct"/>
                  <w:vAlign w:val="top"/>
                </w:tcPr>
                <w:p>
                  <w:r>
                    <w:t xml:space="preserve">Fracture of other parts of neck of femur</w:t>
                  </w:r>
                </w:p>
              </w:tc>
            </w:tr>
            <w:tr>
              <w:trPr/>
              <w:tc>
                <w:tcPr>
                  <w:tcW w:w="1000" w:type="pct"/>
                  <w:vAlign w:val="top"/>
                </w:tcPr>
                <w:p>
                  <w:r>
                    <w:t xml:space="preserve">S72.10</w:t>
                  </w:r>
                </w:p>
              </w:tc>
              <w:tc>
                <w:tcPr>
                  <w:tcW w:w="4000" w:type="pct"/>
                  <w:vAlign w:val="top"/>
                </w:tcPr>
                <w:p>
                  <w:r>
                    <w:t xml:space="preserve">Fracture of trochanteric section of femur, unspecified</w:t>
                  </w:r>
                </w:p>
              </w:tc>
            </w:tr>
            <w:tr>
              <w:trPr/>
              <w:tc>
                <w:tcPr>
                  <w:tcW w:w="1000" w:type="pct"/>
                  <w:vAlign w:val="top"/>
                </w:tcPr>
                <w:p>
                  <w:r>
                    <w:t xml:space="preserve">S72.11</w:t>
                  </w:r>
                </w:p>
              </w:tc>
              <w:tc>
                <w:tcPr>
                  <w:tcW w:w="4000" w:type="pct"/>
                  <w:vAlign w:val="top"/>
                </w:tcPr>
                <w:p>
                  <w:r>
                    <w:t xml:space="preserve">Fracture of intertrochanteric section of femur</w:t>
                  </w:r>
                </w:p>
              </w:tc>
            </w:tr>
            <w:tr>
              <w:trPr/>
              <w:tc>
                <w:tcPr>
                  <w:tcW w:w="1000" w:type="pct"/>
                  <w:vAlign w:val="top"/>
                </w:tcPr>
                <w:p>
                  <w:r>
                    <w:t xml:space="preserve">S72.2</w:t>
                  </w:r>
                </w:p>
              </w:tc>
              <w:tc>
                <w:tcPr>
                  <w:tcW w:w="4000" w:type="pct"/>
                  <w:vAlign w:val="top"/>
                </w:tcPr>
                <w:p>
                  <w:r>
                    <w:t xml:space="preserve">Subtrochanteric fracture</w:t>
                  </w:r>
                </w:p>
              </w:tc>
            </w:tr>
          </w:tbl>
          <w:p>
            <w:r>
              <w:t xml:space="preserve">Data source type: Administrative by-product data</w:t>
            </w:r>
          </w:p>
          <w:p>
            <w:r>
              <w:t xml:space="preserve"> </w:t>
            </w:r>
          </w:p>
          <w:p>
            <w:r>
              <w:rPr>
                <w:b/>
                <w:color w:val="000000"/>
              </w:rPr>
              <w:t xml:space="preserve">Data Element / Data Set</w:t>
            </w:r>
          </w:p>
          <w:p>
            <w:hyperlink w:history="true" r:id="R84ea7a36143744a2">
              <w:r>
                <w:rPr>
                  <w:rStyle w:val="Hyperlink"/>
                </w:rPr>
                <w:t xml:space="preserve">Episode of care—principal diagnosis, code (ICD-10-AM 7th edn) ANN{.N[N]}</w:t>
              </w:r>
            </w:hyperlink>
          </w:p>
          <w:p>
            <w:r>
              <w:rPr>
                <w:b/>
              </w:rPr>
              <w:t xml:space="preserve">Data Source</w:t>
            </w:r>
          </w:p>
          <w:p>
            <w:hyperlink w:history="true" r:id="R0bcaaa0127cd4f0e">
              <w:r>
                <w:rPr>
                  <w:rStyle w:val="Hyperlink"/>
                </w:rPr>
                <w:t xml:space="preserve">National Hospital Morbidity Database (NHMD)</w:t>
              </w:r>
            </w:hyperlink>
          </w:p>
          <w:p>
            <w:r>
              <w:rPr>
                <w:b/>
              </w:rPr>
              <w:t xml:space="preserve">NMDS / DSS</w:t>
            </w:r>
          </w:p>
          <w:p>
            <w:hyperlink w:history="true" r:id="Ref78d064409045fd">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multi-day stays in hospital for people aged 65 years and over attributable to a fractured hip for a major or large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f30debc42244e7">
              <w:r>
                <w:rPr>
                  <w:rStyle w:val="Hyperlink"/>
                </w:rPr>
                <w:t xml:space="preserve">Episode of care—additional diagnosis, code (ICD-10-AM 7th edn) ANN{.N[N]}</w:t>
              </w:r>
            </w:hyperlink>
          </w:p>
          <w:p>
            <w:r>
              <w:rPr>
                <w:rStyle w:val="row-content"/>
                <w:b/>
              </w:rPr>
              <w:t xml:space="preserve">Guide for use</w:t>
            </w:r>
          </w:p>
          <w:p>
            <w:r>
              <w:rPr>
                <w:rStyle w:val="row-content"/>
                <w:b/>
              </w:rPr>
              <w:t xml:space="preserve">Inclusion codes for Principal and Additional diagnosis:</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S72.00</w:t>
                  </w:r>
                </w:p>
              </w:tc>
              <w:tc>
                <w:tcPr>
                  <w:tcW w:w="4000" w:type="pct"/>
                  <w:vAlign w:val="top"/>
                </w:tcPr>
                <w:p>
                  <w:r>
                    <w:t xml:space="preserve">Fracture of neck of femur, part unspecified </w:t>
                  </w:r>
                </w:p>
              </w:tc>
            </w:tr>
            <w:tr>
              <w:trPr/>
              <w:tc>
                <w:tcPr>
                  <w:tcW w:w="1000" w:type="pct"/>
                  <w:vAlign w:val="top"/>
                </w:tcPr>
                <w:p>
                  <w:r>
                    <w:t xml:space="preserve">S72.01</w:t>
                  </w:r>
                </w:p>
              </w:tc>
              <w:tc>
                <w:tcPr>
                  <w:tcW w:w="4000" w:type="pct"/>
                  <w:vAlign w:val="top"/>
                </w:tcPr>
                <w:p>
                  <w:r>
                    <w:t xml:space="preserve">Fracture of intracapsular section of femur.</w:t>
                  </w:r>
                </w:p>
              </w:tc>
            </w:tr>
            <w:tr>
              <w:trPr/>
              <w:tc>
                <w:tcPr>
                  <w:tcW w:w="1000" w:type="pct"/>
                  <w:vAlign w:val="top"/>
                </w:tcPr>
                <w:p>
                  <w:r>
                    <w:t xml:space="preserve">S72.02</w:t>
                  </w:r>
                </w:p>
              </w:tc>
              <w:tc>
                <w:tcPr>
                  <w:tcW w:w="4000" w:type="pct"/>
                  <w:vAlign w:val="top"/>
                </w:tcPr>
                <w:p>
                  <w:r>
                    <w:t xml:space="preserve">Fracture of upper epiphysis (separation) of femur</w:t>
                  </w:r>
                </w:p>
              </w:tc>
            </w:tr>
            <w:tr>
              <w:trPr/>
              <w:tc>
                <w:tcPr>
                  <w:tcW w:w="1000" w:type="pct"/>
                  <w:vAlign w:val="top"/>
                </w:tcPr>
                <w:p>
                  <w:r>
                    <w:t xml:space="preserve">S72.03</w:t>
                  </w:r>
                </w:p>
              </w:tc>
              <w:tc>
                <w:tcPr>
                  <w:tcW w:w="4000" w:type="pct"/>
                  <w:vAlign w:val="top"/>
                </w:tcPr>
                <w:p>
                  <w:r>
                    <w:t xml:space="preserve">Fracture of subcapital section of femur</w:t>
                  </w:r>
                </w:p>
              </w:tc>
            </w:tr>
            <w:tr>
              <w:trPr/>
              <w:tc>
                <w:tcPr>
                  <w:tcW w:w="1000" w:type="pct"/>
                  <w:vAlign w:val="top"/>
                </w:tcPr>
                <w:p>
                  <w:r>
                    <w:t xml:space="preserve">S72.04</w:t>
                  </w:r>
                </w:p>
              </w:tc>
              <w:tc>
                <w:tcPr>
                  <w:tcW w:w="4000" w:type="pct"/>
                  <w:vAlign w:val="top"/>
                </w:tcPr>
                <w:p>
                  <w:r>
                    <w:t xml:space="preserve">Fracture of midcervical section of femur</w:t>
                  </w:r>
                </w:p>
              </w:tc>
            </w:tr>
            <w:tr>
              <w:trPr/>
              <w:tc>
                <w:tcPr>
                  <w:tcW w:w="1000" w:type="pct"/>
                  <w:vAlign w:val="top"/>
                </w:tcPr>
                <w:p>
                  <w:r>
                    <w:t xml:space="preserve">S72.05</w:t>
                  </w:r>
                </w:p>
              </w:tc>
              <w:tc>
                <w:tcPr>
                  <w:tcW w:w="4000" w:type="pct"/>
                  <w:vAlign w:val="top"/>
                </w:tcPr>
                <w:p>
                  <w:r>
                    <w:t xml:space="preserve">Fracture of base of neck of femur</w:t>
                  </w:r>
                </w:p>
              </w:tc>
            </w:tr>
            <w:tr>
              <w:trPr/>
              <w:tc>
                <w:tcPr>
                  <w:tcW w:w="1000" w:type="pct"/>
                  <w:vAlign w:val="top"/>
                </w:tcPr>
                <w:p>
                  <w:r>
                    <w:t xml:space="preserve">S72.08</w:t>
                  </w:r>
                </w:p>
              </w:tc>
              <w:tc>
                <w:tcPr>
                  <w:tcW w:w="4000" w:type="pct"/>
                  <w:vAlign w:val="top"/>
                </w:tcPr>
                <w:p>
                  <w:r>
                    <w:t xml:space="preserve">Fracture of other parts of neck of femur</w:t>
                  </w:r>
                </w:p>
              </w:tc>
            </w:tr>
            <w:tr>
              <w:trPr/>
              <w:tc>
                <w:tcPr>
                  <w:tcW w:w="1000" w:type="pct"/>
                  <w:vAlign w:val="top"/>
                </w:tcPr>
                <w:p>
                  <w:r>
                    <w:t xml:space="preserve">S72.10</w:t>
                  </w:r>
                </w:p>
              </w:tc>
              <w:tc>
                <w:tcPr>
                  <w:tcW w:w="4000" w:type="pct"/>
                  <w:vAlign w:val="top"/>
                </w:tcPr>
                <w:p>
                  <w:r>
                    <w:t xml:space="preserve">Fracture of trochanteric section of femur, unspecified</w:t>
                  </w:r>
                </w:p>
              </w:tc>
            </w:tr>
            <w:tr>
              <w:trPr/>
              <w:tc>
                <w:tcPr>
                  <w:tcW w:w="1000" w:type="pct"/>
                  <w:vAlign w:val="top"/>
                </w:tcPr>
                <w:p>
                  <w:r>
                    <w:t xml:space="preserve">S72.11</w:t>
                  </w:r>
                </w:p>
              </w:tc>
              <w:tc>
                <w:tcPr>
                  <w:tcW w:w="4000" w:type="pct"/>
                  <w:vAlign w:val="top"/>
                </w:tcPr>
                <w:p>
                  <w:r>
                    <w:t xml:space="preserve">Fracture of intertrochanteric section of femur</w:t>
                  </w:r>
                </w:p>
              </w:tc>
            </w:tr>
            <w:tr>
              <w:trPr/>
              <w:tc>
                <w:tcPr>
                  <w:tcW w:w="1000" w:type="pct"/>
                  <w:vAlign w:val="top"/>
                </w:tcPr>
                <w:p>
                  <w:r>
                    <w:t xml:space="preserve">S72.2</w:t>
                  </w:r>
                </w:p>
              </w:tc>
              <w:tc>
                <w:tcPr>
                  <w:tcW w:w="4000" w:type="pct"/>
                  <w:vAlign w:val="top"/>
                </w:tcPr>
                <w:p>
                  <w:r>
                    <w:t xml:space="preserve">Subtrochanteric fracture</w:t>
                  </w:r>
                </w:p>
              </w:tc>
            </w:tr>
          </w:tbl>
          <w:p>
            <w:r>
              <w:t xml:space="preserve">Data source type: Administrative by-product data</w:t>
            </w:r>
          </w:p>
          <w:p>
            <w:r>
              <w:t xml:space="preserve"> </w:t>
            </w:r>
          </w:p>
          <w:p>
            <w:r>
              <w:rPr>
                <w:b/>
                <w:color w:val="000000"/>
              </w:rPr>
              <w:t xml:space="preserve">Data Element / Data Set</w:t>
            </w:r>
          </w:p>
          <w:p>
            <w:hyperlink w:history="true" r:id="Ra9e0ec898196450e">
              <w:r>
                <w:rPr>
                  <w:rStyle w:val="Hyperlink"/>
                </w:rPr>
                <w:t xml:space="preserve">Episode of care—principal diagnosis, code (ICD-10-AM 7th edn) ANN{.N[N]}</w:t>
              </w:r>
            </w:hyperlink>
          </w:p>
          <w:p>
            <w:r>
              <w:rPr>
                <w:b/>
              </w:rPr>
              <w:t xml:space="preserve">NMDS / DSS</w:t>
            </w:r>
          </w:p>
          <w:p>
            <w:hyperlink w:history="true" r:id="R8ca7465d3d7c4529">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is by:</w:t>
            </w:r>
          </w:p>
          <w:p>
            <w:pPr>
              <w:pStyle w:val="ListParagraph"/>
              <w:numPr>
                <w:ilvl w:val="0"/>
                <w:numId w:val="4"/>
              </w:numPr>
            </w:pPr>
            <w:r>
              <w:rPr>
                <w:rStyle w:val="row-content-rich-text"/>
              </w:rPr>
              <w:t xml:space="preserve">Australian public hospital</w:t>
            </w:r>
          </w:p>
          <w:p>
            <w:pPr>
              <w:pStyle w:val="ListParagraph"/>
              <w:numPr>
                <w:ilvl w:val="0"/>
                <w:numId w:val="4"/>
              </w:numPr>
            </w:pPr>
            <w:r>
              <w:rPr>
                <w:rStyle w:val="row-content-rich-text"/>
              </w:rPr>
              <w:t xml:space="preserve">Hospital peer group (major and large only). For more information about the hospital peer groups used see </w:t>
            </w:r>
            <w:hyperlink w:history="true" r:id="Rbab8b1b02e974a8d">
              <w:r>
                <w:rPr>
                  <w:rStyle w:val="Hyperlink"/>
                </w:rPr>
                <w:t xml:space="preserve">/content/index.phtml/itemId/584666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02ad4617fa44a2">
              <w:r>
                <w:rPr>
                  <w:rStyle w:val="Hyperlink"/>
                </w:rPr>
                <w:t xml:space="preserve">Establishment—organisation identifier (state/territory), NNNNN</w:t>
              </w:r>
            </w:hyperlink>
          </w:p>
          <w:p>
            <w:r>
              <w:rPr>
                <w:rStyle w:val="row-content"/>
                <w:b/>
              </w:rPr>
              <w:t xml:space="preserve">Data Source</w:t>
            </w:r>
          </w:p>
          <w:p>
            <w:hyperlink w:history="true" r:id="R8e0836822f134052">
              <w:r>
                <w:rPr>
                  <w:rStyle w:val="Hyperlink"/>
                </w:rPr>
                <w:t xml:space="preserve">National Hospital Morbidity Database (NHMD)</w:t>
              </w:r>
            </w:hyperlink>
          </w:p>
          <w:p>
            <w:r>
              <w:rPr>
                <w:rStyle w:val="row-content"/>
                <w:b/>
              </w:rPr>
              <w:t xml:space="preserve">NMDS / DSS</w:t>
            </w:r>
          </w:p>
          <w:p>
            <w:hyperlink w:history="true" r:id="R6fda08e6bb18413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public hospital</w:t>
            </w:r>
          </w:p>
          <w:p>
            <w:r>
              <w:rPr>
                <w:rStyle w:val="row-content"/>
              </w:rPr>
              <w:t xml:space="preserve"> </w:t>
            </w:r>
          </w:p>
          <w:p>
            <w:r>
              <w:rPr>
                <w:rStyle w:val="row-content"/>
                <w:b/>
                <w:color w:val="000000"/>
              </w:rPr>
              <w:t xml:space="preserve">Data Element / Data Set</w:t>
            </w:r>
          </w:p>
          <w:p>
            <w:hyperlink w:history="true" r:id="R0cbfe7d3ae3d4359">
              <w:r>
                <w:rPr>
                  <w:rStyle w:val="Hyperlink"/>
                </w:rPr>
                <w:t xml:space="preserve">Hospital—hospital peer group, modified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Days, rounded to 1dp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5b36040ddd47c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741a6c114bc24b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cd3a76843d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a6c114bc24b56" /><Relationship Type="http://schemas.openxmlformats.org/officeDocument/2006/relationships/header" Target="/word/header1.xml" Id="R6641bc3de6bb4d01" /><Relationship Type="http://schemas.openxmlformats.org/officeDocument/2006/relationships/settings" Target="/word/settings.xml" Id="R79217cd860c24e15" /><Relationship Type="http://schemas.openxmlformats.org/officeDocument/2006/relationships/styles" Target="/word/styles.xml" Id="R5f85c3799b4e4220" /><Relationship Type="http://schemas.openxmlformats.org/officeDocument/2006/relationships/numbering" Target="/word/numbering.xml" Id="R4a48c8d59f114136" /><Relationship Type="http://schemas.openxmlformats.org/officeDocument/2006/relationships/hyperlink" Target="https://meteor-uat.aihw.gov.au/RegistrationAuthority/10" TargetMode="External" Id="R90ce41d5293449e2" /><Relationship Type="http://schemas.openxmlformats.org/officeDocument/2006/relationships/hyperlink" Target="https://meteor-uat.aihw.gov.au/RegistrationAuthority/2" TargetMode="External" Id="Rcd357d9438394a4f" /><Relationship Type="http://schemas.openxmlformats.org/officeDocument/2006/relationships/hyperlink" Target="https://meteor-uat.aihw.gov.au/content/623427" TargetMode="External" Id="R08a785aa8ea44cfc" /><Relationship Type="http://schemas.openxmlformats.org/officeDocument/2006/relationships/hyperlink" Target="https://meteor-uat.aihw.gov.au/RegistrationAuthority/10" TargetMode="External" Id="R35ead9678e2546f5" /><Relationship Type="http://schemas.openxmlformats.org/officeDocument/2006/relationships/hyperlink" Target="https://meteor-uat.aihw.gov.au/RegistrationAuthority/2" TargetMode="External" Id="R1e3beadb27b5472c" /><Relationship Type="http://schemas.openxmlformats.org/officeDocument/2006/relationships/hyperlink" Target="https://meteor-uat.aihw.gov.au/content/584666" TargetMode="External" Id="Rbe5afc042a964f26" /><Relationship Type="http://schemas.openxmlformats.org/officeDocument/2006/relationships/hyperlink" Target="https://meteor-uat.aihw.gov.au/content/269982" TargetMode="External" Id="R14a2bb714694412b" /><Relationship Type="http://schemas.openxmlformats.org/officeDocument/2006/relationships/hyperlink" Target="https://meteor-uat.aihw.gov.au/content/394352" TargetMode="External" Id="R2e26f48f9e3f484b" /><Relationship Type="http://schemas.openxmlformats.org/officeDocument/2006/relationships/hyperlink" Target="https://meteor-uat.aihw.gov.au/content/466132" TargetMode="External" Id="R472de9457dc34dec" /><Relationship Type="http://schemas.openxmlformats.org/officeDocument/2006/relationships/hyperlink" Target="https://meteor-uat.aihw.gov.au/content/287007" TargetMode="External" Id="R6061c9c732164452" /><Relationship Type="http://schemas.openxmlformats.org/officeDocument/2006/relationships/hyperlink" Target="https://meteor-uat.aihw.gov.au/content/394352" TargetMode="External" Id="R307f2fd00fe246f2" /><Relationship Type="http://schemas.openxmlformats.org/officeDocument/2006/relationships/hyperlink" Target="https://meteor-uat.aihw.gov.au/content/466132" TargetMode="External" Id="Ra3abc977a76c4ddd" /><Relationship Type="http://schemas.openxmlformats.org/officeDocument/2006/relationships/hyperlink" Target="https://meteor-uat.aihw.gov.au/content/391322" TargetMode="External" Id="R759e7318126d49a9" /><Relationship Type="http://schemas.openxmlformats.org/officeDocument/2006/relationships/hyperlink" Target="https://meteor-uat.aihw.gov.au/content/394352" TargetMode="External" Id="Rbcf32a0754764629" /><Relationship Type="http://schemas.openxmlformats.org/officeDocument/2006/relationships/hyperlink" Target="https://meteor-uat.aihw.gov.au/content/466132" TargetMode="External" Id="R82abf6c699b0489e" /><Relationship Type="http://schemas.openxmlformats.org/officeDocument/2006/relationships/hyperlink" Target="https://meteor-uat.aihw.gov.au/content/391326" TargetMode="External" Id="R84ea7a36143744a2" /><Relationship Type="http://schemas.openxmlformats.org/officeDocument/2006/relationships/hyperlink" Target="https://meteor-uat.aihw.gov.au/content/394352" TargetMode="External" Id="R0bcaaa0127cd4f0e" /><Relationship Type="http://schemas.openxmlformats.org/officeDocument/2006/relationships/hyperlink" Target="https://meteor-uat.aihw.gov.au/content/466132" TargetMode="External" Id="Ref78d064409045fd" /><Relationship Type="http://schemas.openxmlformats.org/officeDocument/2006/relationships/hyperlink" Target="https://meteor-uat.aihw.gov.au/content/391322" TargetMode="External" Id="Ra5f30debc42244e7" /><Relationship Type="http://schemas.openxmlformats.org/officeDocument/2006/relationships/hyperlink" Target="https://meteor-uat.aihw.gov.au/content/391326" TargetMode="External" Id="Ra9e0ec898196450e" /><Relationship Type="http://schemas.openxmlformats.org/officeDocument/2006/relationships/hyperlink" Target="https://meteor-uat.aihw.gov.au/content/466132" TargetMode="External" Id="R8ca7465d3d7c4529" /><Relationship Type="http://schemas.openxmlformats.org/officeDocument/2006/relationships/hyperlink" Target="https://meteor-uat.aihw.gov.au/content/584666" TargetMode="External" Id="Rbab8b1b02e974a8d" /><Relationship Type="http://schemas.openxmlformats.org/officeDocument/2006/relationships/hyperlink" Target="https://meteor-uat.aihw.gov.au/content/269975" TargetMode="External" Id="Rbd02ad4617fa44a2" /><Relationship Type="http://schemas.openxmlformats.org/officeDocument/2006/relationships/hyperlink" Target="https://meteor-uat.aihw.gov.au/content/394352" TargetMode="External" Id="R8e0836822f134052" /><Relationship Type="http://schemas.openxmlformats.org/officeDocument/2006/relationships/hyperlink" Target="https://meteor-uat.aihw.gov.au/content/466132" TargetMode="External" Id="R6fda08e6bb18413f" /><Relationship Type="http://schemas.openxmlformats.org/officeDocument/2006/relationships/hyperlink" Target="https://meteor-uat.aihw.gov.au/content/584666" TargetMode="External" Id="R0cbfe7d3ae3d4359" /><Relationship Type="http://schemas.openxmlformats.org/officeDocument/2006/relationships/hyperlink" Target="https://meteor-uat.aihw.gov.au/content/394352" TargetMode="External" Id="Rd55b36040ddd47ce" /></Relationships>
</file>

<file path=word/_rels/header1.xml.rels>&#65279;<?xml version="1.0" encoding="utf-8"?><Relationships xmlns="http://schemas.openxmlformats.org/package/2006/relationships"><Relationship Type="http://schemas.openxmlformats.org/officeDocument/2006/relationships/image" Target="/media/image.png" Id="Rd4cd3a76843d44a9" /></Relationships>
</file>