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20b2a8a4ed40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90497f1d44f78">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Separations are reported by the jurisdiction of usual residence of the patient, not the jurisdiction of hospitalisation. </w:t>
            </w:r>
          </w:p>
          <w:p>
            <w:pPr>
              <w:pStyle w:val="ListParagraph"/>
              <w:numPr>
                <w:ilvl w:val="0"/>
                <w:numId w:val="2"/>
              </w:numPr>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 Data provided for this 2016 reporting period use the new specification and are comparable to data provided in the 2015 reporting period.</w:t>
            </w:r>
          </w:p>
          <w:p>
            <w:pPr>
              <w:pStyle w:val="ListParagraph"/>
              <w:numPr>
                <w:ilvl w:val="0"/>
                <w:numId w:val="2"/>
              </w:numPr>
            </w:pPr>
            <w:r>
              <w:rPr>
                <w:rStyle w:val="row-content-rich-text"/>
              </w:rPr>
              <w:t xml:space="preserve">Caution should be used in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the associated Australian Coding Standards resulted in fluctuations in the reporting of diagnoses for diabetes (chronic category affected). These changes should also be taken into consideration in interpretation of these data against the National Healthcare Agreement performance benchmark for potentially preventable hospitalisations.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 </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8516a01c0b849c5">
              <w:r>
                <w:rPr>
                  <w:rStyle w:val="Hyperlink"/>
                </w:rPr>
                <w:t xml:space="preserve">www.aihw.gov.au</w:t>
              </w:r>
            </w:hyperlink>
            <w:r>
              <w:rPr>
                <w:rStyle w:val="row-content-rich-text"/>
              </w:rPr>
              <w:t xml:space="preserve">.  </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dc32553877844831">
              <w:r>
                <w:rPr>
                  <w:rStyle w:val="Hyperlink"/>
                </w:rPr>
                <w:t xml:space="preserve">http://www.aihw.gov.au/nhissc/</w:t>
              </w:r>
            </w:hyperlink>
            <w:r>
              <w:rPr>
                <w:rStyle w:val="row-content-rich-text"/>
              </w:rPr>
              <w:t xml:space="preserve">  </w:t>
            </w:r>
          </w:p>
          <w:p>
            <w:hyperlink w:history="true" r:id="Rc5dd80c30a634aed">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6cb7869901504da2">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6f382e4c0f90430e">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NHMD can be accessed on the AIHW website at:</w:t>
            </w:r>
          </w:p>
          <w:p>
            <w:hyperlink w:history="true" r:id="R446848644aa64756">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Area 2 (SA2) of usual residence of the patient, not the location of the hospital. Hence rates represent the number separations for patients living in each state/territory, remoteness area or Socio-Economic Indexes for Areas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 Data provided for this 2016 reporting period use the new specification and are comparable to data provided in the 2015 reporting period.</w:t>
            </w:r>
          </w:p>
          <w:p>
            <w:pPr>
              <w:spacing w:after="160"/>
            </w:pPr>
            <w:r>
              <w:rPr>
                <w:rStyle w:val="row-content-rich-text"/>
              </w:rPr>
              <w:t xml:space="preserve">For ICD-10-AM coding details, please refer to the specification for National Healthcare Agreement Performance Indicator 18 - Selected potentially preventable hospitalisations, 2016 (</w:t>
            </w:r>
            <w:hyperlink w:history="true" r:id="R9390e03fcb7a482f">
              <w:r>
                <w:rPr>
                  <w:rStyle w:val="Hyperlink"/>
                </w:rPr>
                <w:t xml:space="preserve">/content/index.phtml/itemId/598746</w:t>
              </w:r>
            </w:hyperlink>
            <w:r>
              <w:rPr>
                <w:rStyle w:val="row-content-rich-text"/>
              </w:rPr>
              <w:t xml:space="preserve">).</w:t>
            </w:r>
          </w:p>
          <w:p>
            <w:pPr>
              <w:spacing w:after="160"/>
            </w:pPr>
            <w:r>
              <w:rPr>
                <w:rStyle w:val="row-content-rich-text"/>
              </w:rPr>
              <w:t xml:space="preserve">However, caution should be used when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the associated Australian Coding Standards that resulted in fluctuations in the reporting of diagnoses for diabetes.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2013–14 (and interim years) may not be directly comparable to the baseline data from which the target is based.</w:t>
            </w:r>
          </w:p>
          <w:p>
            <w:pPr>
              <w:spacing w:after="160"/>
            </w:pPr>
            <w:r>
              <w:rPr>
                <w:rStyle w:val="row-content-rich-text"/>
              </w:rPr>
              <w:t xml:space="preserve">National level data disaggregated by Indigenous status for 2007–08 to 2009–10 included data from NSW, Vic, Qld, WA, SA and NT. National level data disaggregated by Indigenous status for 2010–11 and subsequent years includes data from all eight states and territories. Therefore, data disaggregated by Indigenous status from 2007–08, 2008–09 and 2009–10 is not comparable to data for 2010–11 and subsequent years.   </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f48cbc272b4965">
              <w:r>
                <w:rPr>
                  <w:rStyle w:val="Hyperlink"/>
                </w:rPr>
                <w:t xml:space="preserve">National Healthcare Agreement: PI 18-Selected potentially preventable hospitalisations, 2015 QS</w:t>
              </w:r>
            </w:hyperlink>
          </w:p>
          <w:p>
            <w:pPr>
              <w:pStyle w:val="registration-status"/>
              <w:spacing w:before="0" w:after="0"/>
            </w:pPr>
            <w:hyperlink w:history="true" r:id="R4c2fd2fa57b24430">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4cda298441f4973">
              <w:r>
                <w:rPr>
                  <w:rStyle w:val="Hyperlink"/>
                </w:rPr>
                <w:t xml:space="preserve">National Healthcare Agreement: PI 18-Selected potentially preventable hospitalisations, 2017 QS</w:t>
              </w:r>
            </w:hyperlink>
          </w:p>
          <w:p>
            <w:pPr>
              <w:pStyle w:val="registration-status"/>
              <w:spacing w:before="0" w:after="0"/>
            </w:pPr>
            <w:hyperlink w:history="true" r:id="R7f336259125b474e">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1913459aa2c4785">
              <w:r>
                <w:rPr>
                  <w:rStyle w:val="Hyperlink"/>
                </w:rPr>
                <w:t xml:space="preserve">National Healthcare Agreement: PI 18–Selected potentially preventable hospitalisations, 2016</w:t>
              </w:r>
            </w:hyperlink>
          </w:p>
          <w:p>
            <w:pPr>
              <w:pStyle w:val="registration-status"/>
              <w:spacing w:before="0" w:after="0"/>
            </w:pPr>
            <w:hyperlink w:history="true" r:id="R4e4dc27963f743c5">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0789e47f0e94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788b1527c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9e47f0e944e72" /><Relationship Type="http://schemas.openxmlformats.org/officeDocument/2006/relationships/header" Target="/word/header1.xml" Id="R97f125885c0e4290" /><Relationship Type="http://schemas.openxmlformats.org/officeDocument/2006/relationships/settings" Target="/word/settings.xml" Id="R05b96a27c5af4932" /><Relationship Type="http://schemas.openxmlformats.org/officeDocument/2006/relationships/styles" Target="/word/styles.xml" Id="Rd9ee668104a44e03" /><Relationship Type="http://schemas.openxmlformats.org/officeDocument/2006/relationships/numbering" Target="/word/numbering.xml" Id="R5b980b56c8b04a33" /><Relationship Type="http://schemas.openxmlformats.org/officeDocument/2006/relationships/hyperlink" Target="https://meteor-uat.aihw.gov.au/RegistrationAuthority/14" TargetMode="External" Id="R2fb90497f1d44f78" /><Relationship Type="http://schemas.openxmlformats.org/officeDocument/2006/relationships/hyperlink" Target="http://www.aihw.gov.au/" TargetMode="External" Id="R58516a01c0b849c5" /><Relationship Type="http://schemas.openxmlformats.org/officeDocument/2006/relationships/hyperlink" Target="http://www.aihw.gov.au/nhissc/" TargetMode="External" Id="Rdc32553877844831" /><Relationship Type="http://schemas.openxmlformats.org/officeDocument/2006/relationships/hyperlink" Target="https://meteor-uat.aihw.gov.au/content/182135" TargetMode="External" Id="Rc5dd80c30a634aed" /><Relationship Type="http://schemas.openxmlformats.org/officeDocument/2006/relationships/hyperlink" Target="http://www.aihw.gov.au/hospitals/" TargetMode="External" Id="R6cb7869901504da2" /><Relationship Type="http://schemas.openxmlformats.org/officeDocument/2006/relationships/hyperlink" Target="https://meteor-uat.aihw.gov.au/content/268110" TargetMode="External" Id="R6f382e4c0f90430e" /><Relationship Type="http://schemas.openxmlformats.org/officeDocument/2006/relationships/hyperlink" Target="https://meteor-uat.aihw.gov.au/content/611030" TargetMode="External" Id="R446848644aa64756" /><Relationship Type="http://schemas.openxmlformats.org/officeDocument/2006/relationships/hyperlink" Target="https://meteor-uat.aihw.gov.au/content/598746" TargetMode="External" Id="R9390e03fcb7a482f" /><Relationship Type="http://schemas.openxmlformats.org/officeDocument/2006/relationships/hyperlink" Target="https://meteor-uat.aihw.gov.au/content/559111" TargetMode="External" Id="R4df48cbc272b4965" /><Relationship Type="http://schemas.openxmlformats.org/officeDocument/2006/relationships/hyperlink" Target="https://meteor-uat.aihw.gov.au/RegistrationAuthority/14" TargetMode="External" Id="R4c2fd2fa57b24430" /><Relationship Type="http://schemas.openxmlformats.org/officeDocument/2006/relationships/hyperlink" Target="https://meteor-uat.aihw.gov.au/content/630441" TargetMode="External" Id="Rc4cda298441f4973" /><Relationship Type="http://schemas.openxmlformats.org/officeDocument/2006/relationships/hyperlink" Target="https://meteor-uat.aihw.gov.au/RegistrationAuthority/14" TargetMode="External" Id="R7f336259125b474e" /><Relationship Type="http://schemas.openxmlformats.org/officeDocument/2006/relationships/hyperlink" Target="https://meteor-uat.aihw.gov.au/content/598746" TargetMode="External" Id="Rf1913459aa2c4785" /><Relationship Type="http://schemas.openxmlformats.org/officeDocument/2006/relationships/hyperlink" Target="https://meteor-uat.aihw.gov.au/RegistrationAuthority/14" TargetMode="External" Id="R4e4dc27963f743c5" /></Relationships>
</file>

<file path=word/_rels/header1.xml.rels>&#65279;<?xml version="1.0" encoding="utf-8"?><Relationships xmlns="http://schemas.openxmlformats.org/package/2006/relationships"><Relationship Type="http://schemas.openxmlformats.org/officeDocument/2006/relationships/image" Target="/media/image.png" Id="Re2e788b1527c44a8" /></Relationships>
</file>