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f77e43cb5e401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09-Incidence of heart attacks (acute coronary events), 2016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09-Incidence of heart attacks (acute coronary events),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c2f7274d6040c7">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This indicator estimates the incidence of acute coronary events from the National Hospital Morbidity Database (NHMD) and the National Mortality Database (NMD).</w:t>
            </w:r>
          </w:p>
          <w:p>
            <w:pPr>
              <w:pStyle w:val="ListParagraph"/>
              <w:numPr>
                <w:ilvl w:val="0"/>
                <w:numId w:val="2"/>
              </w:numPr>
            </w:pPr>
            <w:r>
              <w:rPr>
                <w:rStyle w:val="row-content-rich-text"/>
              </w:rPr>
              <w:t xml:space="preserve">The methodology for estimating the incidence of acute coronary events is based on AIHW analysis of hospital and mortality data, and has been validated using linked data from WA and NSW.</w:t>
            </w:r>
          </w:p>
          <w:p>
            <w:pPr>
              <w:pStyle w:val="ListParagraph"/>
              <w:numPr>
                <w:ilvl w:val="0"/>
                <w:numId w:val="2"/>
              </w:numPr>
            </w:pPr>
            <w:r>
              <w:rPr>
                <w:rStyle w:val="row-content-rich-text"/>
              </w:rPr>
              <w:t xml:space="preserve">The accuracy of the estimates is reliant on the accuracy and consistency of coding of the principal diagnosis and underlying cause of death in each jurisdiction. It also relies on the accuracy of coding of transfers to another acute hospital and of death in hospital.</w:t>
            </w:r>
          </w:p>
          <w:p>
            <w:pPr>
              <w:pStyle w:val="ListParagraph"/>
              <w:numPr>
                <w:ilvl w:val="0"/>
                <w:numId w:val="2"/>
              </w:numPr>
            </w:pPr>
            <w:r>
              <w:rPr>
                <w:rStyle w:val="row-content-rich-text"/>
              </w:rPr>
              <w:t xml:space="preserve">Comparisons between jurisdictions should not be made as variations in key variables (particularly in transfer rates between hospitals) are likely to impact on jurisdictional comparability. The assessment of validity showed an underestimation of the incidence of acute coronary events in WA and NSW. The extent of this cannot be measured precisely for other jurisdictions without linked data sets for all states and territories.</w:t>
            </w:r>
          </w:p>
          <w:p>
            <w:pPr>
              <w:pStyle w:val="ListParagraph"/>
              <w:numPr>
                <w:ilvl w:val="0"/>
                <w:numId w:val="2"/>
              </w:numPr>
            </w:pPr>
            <w:r>
              <w:rPr>
                <w:rStyle w:val="row-content-rich-text"/>
              </w:rPr>
              <w:t xml:space="preserve">The estimates provided in Table 9.1, by age and sex, are derived using data from all jurisdictions.</w:t>
            </w:r>
          </w:p>
          <w:p>
            <w:pPr>
              <w:pStyle w:val="ListParagraph"/>
              <w:numPr>
                <w:ilvl w:val="0"/>
                <w:numId w:val="2"/>
              </w:numPr>
            </w:pPr>
            <w:r>
              <w:rPr>
                <w:rStyle w:val="row-content-rich-text"/>
              </w:rPr>
              <w:t xml:space="preserve">The estimates in Table 9.2 for each jurisdiction are derived using state/territory of usual residence.</w:t>
            </w:r>
          </w:p>
          <w:p>
            <w:pPr>
              <w:pStyle w:val="ListParagraph"/>
              <w:numPr>
                <w:ilvl w:val="0"/>
                <w:numId w:val="2"/>
              </w:numPr>
            </w:pPr>
            <w:r>
              <w:rPr>
                <w:rStyle w:val="row-content-rich-text"/>
              </w:rPr>
              <w:t xml:space="preserve">NMD data from 5 jurisdictions (NSW, Qld, WA, SA and NT) have been assessed by the AIHW as having adequate Indigenous identification from 1998 onwards. The estimates shown in Table 9.3 for Indigenous and Other Australians are derived using only data from these five jurisdictions because the quality of identification is considered reasonable in both the NHMD and the NMD.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using data extracted from the AIHW NHMD, the NMD and Australian Bureau of Statistics (ABS) population data.</w:t>
            </w:r>
          </w:p>
          <w:p>
            <w:pPr>
              <w:spacing w:after="160"/>
            </w:pPr>
            <w:r>
              <w:rPr>
                <w:rStyle w:val="row-content-rich-text"/>
              </w:rPr>
              <w:t xml:space="preserve">The AIHW is a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authoritative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 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w:t>
            </w:r>
            <w:r>
              <w:rPr>
                <w:rStyle w:val="row-content-rich-text"/>
              </w:rPr>
              <w:t xml:space="preserve">, ensures that the data collections managed by the AIHW are kept securely and under the strictest conditions with respect to privacy and confidentiality.</w:t>
            </w:r>
          </w:p>
          <w:p>
            <w:pPr/>
            <w:r>
              <w:rPr>
                <w:rStyle w:val="row-content-rich-text"/>
              </w:rPr>
              <w:t xml:space="preserve">For further information see the AIHW website </w:t>
            </w:r>
            <w:hyperlink w:history="true" r:id="R44f479760fae4fdc">
              <w:r>
                <w:rPr>
                  <w:rStyle w:val="Hyperlink"/>
                </w:rPr>
                <w:t xml:space="preserve">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reports the latest information available (for years 2011 to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 a variety of products that draw upon the NMD and NHMD including online data cubes and reports.</w:t>
            </w:r>
          </w:p>
          <w:p>
            <w:pPr>
              <w:spacing w:after="160"/>
            </w:pPr>
            <w:r>
              <w:rPr>
                <w:rStyle w:val="row-content-rich-text"/>
              </w:rPr>
              <w:t xml:space="preserve">These products may be accessed on the AIHW website:</w:t>
            </w:r>
          </w:p>
          <w:p>
            <w:hyperlink w:history="true" r:id="Re13de84bde4d4292">
              <w:r>
                <w:rPr>
                  <w:rStyle w:val="Hyperlink"/>
                </w:rPr>
                <w:t xml:space="preserve">http://www.aihw.gov.au/hospitals/</w:t>
              </w:r>
            </w:hyperlink>
          </w:p>
          <w:p>
            <w:hyperlink w:history="true" r:id="R66382ddf4d8b4604">
              <w:r>
                <w:rPr>
                  <w:rStyle w:val="Hyperlink"/>
                </w:rPr>
                <w:t xml:space="preserve">http://www.aihw.gov.au/deaths/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NHMD</w:t>
            </w:r>
            <w:r>
              <w:br/>
            </w:r>
            <w:r>
              <w:rPr>
                <w:rStyle w:val="row-content-rich-text"/>
              </w:rPr>
              <w:t xml:space="preserve">The NHMD data were supplied to the AIHW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administrative arrangements, contractual requirements or legislation.</w:t>
            </w:r>
          </w:p>
          <w:p>
            <w:pPr>
              <w:spacing w:after="160"/>
            </w:pPr>
            <w:r>
              <w:rPr>
                <w:rStyle w:val="row-content-rich-text"/>
              </w:rPr>
              <w:t xml:space="preserve">The scope of the NHMD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States and territories supplied these data to the AIHW under the terms of the </w:t>
            </w:r>
            <w:r>
              <w:rPr>
                <w:rStyle w:val="row-content-rich-text"/>
                <w:i/>
              </w:rPr>
              <w:t xml:space="preserve">National Health Information Agreement</w:t>
            </w:r>
            <w:r>
              <w:rPr>
                <w:rStyle w:val="row-content-rich-text"/>
              </w:rPr>
              <w:t xml:space="preserve">.</w:t>
            </w:r>
          </w:p>
          <w:p>
            <w:pPr>
              <w:spacing w:after="160"/>
            </w:pPr>
            <w:r>
              <w:rPr>
                <w:rStyle w:val="row-content-rich-text"/>
              </w:rPr>
              <w:t xml:space="preserve">The data quality statement for the AIHW National Hospital Morbidity Database can be found in </w:t>
            </w:r>
            <w:hyperlink w:history="true" r:id="Rd9492935e76e44e1">
              <w:r>
                <w:rPr>
                  <w:rStyle w:val="Hyperlink"/>
                </w:rPr>
                <w:t xml:space="preserve">/content/index.phtml/itemId/611030</w:t>
              </w:r>
            </w:hyperlink>
            <w:r>
              <w:br/>
            </w:r>
            <w:r>
              <w:rPr>
                <w:rStyle w:val="row-content-rich-text"/>
              </w:rPr>
              <w:t xml:space="preserve">with summary data quality information in Appendix A of </w:t>
            </w:r>
            <w:r>
              <w:rPr>
                <w:rStyle w:val="row-content-rich-text"/>
                <w:i/>
              </w:rPr>
              <w:t xml:space="preserve">Admitted patient care 2013–14: Australian hospital statistics</w:t>
            </w:r>
            <w:r>
              <w:rPr>
                <w:rStyle w:val="row-content-rich-text"/>
              </w:rPr>
              <w:t xml:space="preserve"> or at </w:t>
            </w:r>
            <w:hyperlink w:history="true" r:id="R71272d4b7ea24908">
              <w:r>
                <w:rPr>
                  <w:rStyle w:val="Hyperlink"/>
                </w:rPr>
                <w:t xml:space="preserve">http://www.aihw.gov.au/publication-detail/?id=60129550483</w:t>
              </w:r>
            </w:hyperlink>
          </w:p>
          <w:p>
            <w:pPr>
              <w:spacing w:after="160"/>
            </w:pPr>
            <w:r>
              <w:rPr>
                <w:rStyle w:val="row-content-rich-text"/>
                <w:u w:val="single"/>
              </w:rPr>
              <w:t xml:space="preserve">NMD</w:t>
            </w:r>
          </w:p>
          <w:p>
            <w:pPr>
              <w:spacing w:after="160"/>
            </w:pPr>
            <w:r>
              <w:rPr>
                <w:rStyle w:val="row-content-rich-text"/>
              </w:rPr>
              <w:t xml:space="preserve">Cause of Death Unit Record File data are provided to the AIHW by the Registries of Births, Deaths and Marriages and the National Coronial Information System (managed by the Victorian Department of Justice) and include cause of death coded by the Australian Bureau of Statistics (ABS). The data are maintained by the AIHW in the National Mortality Database.</w:t>
            </w:r>
          </w:p>
          <w:p>
            <w:pPr>
              <w:spacing w:after="160"/>
            </w:pPr>
            <w:r>
              <w:rPr>
                <w:rStyle w:val="row-content-rich-text"/>
              </w:rPr>
              <w:t xml:space="preserve">The data quality statements for the AIHW National Mortality Database can be found in the following ABS publications:</w:t>
            </w:r>
          </w:p>
          <w:p>
            <w:pPr/>
            <w:r>
              <w:rPr>
                <w:rStyle w:val="row-content-rich-text"/>
              </w:rPr>
              <w:t xml:space="preserve">ABS Quality declaration summary for Causes of death, Australia (cat. no. 3303.0) </w:t>
            </w:r>
            <w:hyperlink w:history="true" r:id="Rff933ee97aa144f1">
              <w:r>
                <w:rPr>
                  <w:rStyle w:val="Hyperlink"/>
                </w:rPr>
                <w:t xml:space="preserve">www.abs.gov.au/ausstats/abs@.nsf/mf/3303.0/</w:t>
              </w:r>
            </w:hyperlink>
            <w:r>
              <w:rPr>
                <w:rStyle w:val="row-content-rich-text"/>
              </w:rPr>
              <w:t xml:space="preserve"> and</w:t>
            </w:r>
            <w:r>
              <w:br/>
            </w:r>
            <w:r>
              <w:rPr>
                <w:rStyle w:val="row-content-rich-text"/>
              </w:rPr>
              <w:t xml:space="preserve">ABS Quality declaration summary for Deaths, Australia (cat. no. 3302.0) </w:t>
            </w:r>
            <w:hyperlink w:history="true" r:id="R920db25c6b4a4140">
              <w:r>
                <w:rPr>
                  <w:rStyle w:val="Hyperlink"/>
                </w:rPr>
                <w:t xml:space="preserve">www.abs.gov.au/ausstats/abs@.nsf/mf/3302.0/</w:t>
              </w:r>
            </w:hyperlink>
            <w:r>
              <w:br/>
            </w:r>
            <w:r>
              <w:rPr>
                <w:rStyle w:val="row-content-rich-text"/>
              </w:rPr>
              <w:t xml:space="preserve">For more information on the AIHW National Mortality Database see Deaths data at AIHW </w:t>
            </w:r>
            <w:hyperlink w:history="true" r:id="R3178593a20d24854">
              <w:r>
                <w:rPr>
                  <w:rStyle w:val="Hyperlink"/>
                </w:rPr>
                <w:t xml:space="preserve">http://www.aihw.gov.au/deaths/aihw-deaths-data/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provide an estimate of the incidence of acute coronary events in Australia and in each jurisdiction, based on administrative data currently available. Non-fatal events are estimated from the National Hospita l Morbidity Database (NHMD) and fatal events from the National Mortality Database (NMD).</w:t>
            </w:r>
          </w:p>
          <w:p>
            <w:pPr>
              <w:spacing w:after="160"/>
            </w:pPr>
            <w:r>
              <w:rPr>
                <w:rStyle w:val="row-content-rich-text"/>
              </w:rPr>
              <w:t xml:space="preserve">It is an estimate of ‘events’, not individuals. It should be noted that an individual may have multiple events in the one year or in different years. Each would be counted. Further, an individual may have one acute coronary event which resulted in multiple hospitalisations, due to transfers for treatment and on-going care. In the NHMD these are recorded as multiple unlinked hospital episodes. The method of estimation attempts to take account of transfers in the databases by excluding hospitalisations ending in a transfer to another acute hospital (so that each acute coronary syndrome (ACS) event is counted only once, regardless of the number of hospitalisation episodes per event) and by excluding hospitalisations for ACS ending in death in hospital (as these should be picked up in the NMD data).</w:t>
            </w:r>
          </w:p>
          <w:p>
            <w:pPr>
              <w:spacing w:after="160"/>
            </w:pPr>
            <w:r>
              <w:rPr>
                <w:rStyle w:val="row-content-rich-text"/>
              </w:rPr>
              <w:t xml:space="preserve">The method of estimation has been developed based on an analysis of hospital and deaths data validated using linked data from WA and NSW (AIHW 2014 Acute coronary syndrome: validation of the method used to monitor incidence in Australia. Cat. No. CVD 68. Canberra) </w:t>
            </w:r>
            <w:hyperlink w:history="true" r:id="R9937870a63bb4495">
              <w:r>
                <w:rPr>
                  <w:rStyle w:val="Hyperlink"/>
                </w:rPr>
                <w:t xml:space="preserve">http://www.aihw.gov.au/WorkArea/DownloadAsset.aspx?id=60129547560</w:t>
              </w:r>
            </w:hyperlink>
            <w:r>
              <w:rPr>
                <w:rStyle w:val="row-content-rich-text"/>
              </w:rPr>
              <w:t xml:space="preserve">.</w:t>
            </w:r>
          </w:p>
          <w:p>
            <w:pPr>
              <w:spacing w:after="160"/>
            </w:pPr>
            <w:r>
              <w:rPr>
                <w:rStyle w:val="row-content-rich-text"/>
              </w:rPr>
              <w:t xml:space="preserve">The year in which the event occurred is determined from the separation date for hospitalisations, and from the year of registration of death. Data are reported by the state or territory of usual residence of the person at the time of hospitalisation or death.</w:t>
            </w:r>
          </w:p>
          <w:p>
            <w:pPr/>
            <w:r>
              <w:rPr>
                <w:rStyle w:val="row-content-rich-text"/>
              </w:rPr>
              <w:t xml:space="preserve">Variability across jurisdictions (particularly in hospital transfer rates) indicates that the method of estimation may lead to an underestimation of incidence in some jurisdictions. This variation may be due to differences in treatment and referral patterns but could also be due to differences in data recording practices. Rates for Indigenous and Other Australians are based on data from those jurisdictions where the quality of identification is considered reasonable in both the NHMD and the NMD. NMD data from 5 jurisdictions (NSW, Qld, WA, SA and NT) have been assessed by the AIHW as having adequate Indigenous identification from 1998 onwards and only these 5 jurisdictions are included in the estimates reported by Indigenous status. Rates for Other Australians are calculated by subtracting Indigenous estimates from total estimates for the five jurisdictions divided by the population of Other Australians in those jurisdictions.  Other Australians therefore includes non-Indigenous people and people whose Indigenous status was not stated or 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Assessment of validity based on linked and unlinked data from WA and NSW has shown that the method underestimates the incidence of acute coronary events in at least those states. Nonetheless, these estimates provide a reasonable measure of the incidence of acute coronary events and may be useful for recording and monitoring each jurisdiction’s progress over time.</w:t>
            </w:r>
            <w:r>
              <w:br/>
            </w:r>
            <w:r>
              <w:rPr>
                <w:rStyle w:val="row-content-rich-text"/>
              </w:rPr>
              <w:t xml:space="preserve">Comparison between jurisdictions </w:t>
            </w:r>
            <w:r>
              <w:rPr>
                <w:rStyle w:val="row-content-rich-text"/>
                <w:u w:val="single"/>
              </w:rPr>
              <w:t xml:space="preserve">should not</w:t>
            </w:r>
            <w:r>
              <w:rPr>
                <w:rStyle w:val="row-content-rich-text"/>
              </w:rPr>
              <w:t xml:space="preserve"> be made as the assessment of validity suggested variations in the under-count of acute coronary event rates, as observed in WA and NSW (6% in WA and 11% in NSW in 2007). Factors such as differing treatment and referral patterns and data recording practices across states/territories are likely to have an impact on administrative records and affect jurisdictional comparability.</w:t>
            </w:r>
          </w:p>
          <w:p>
            <w:pPr>
              <w:spacing w:after="160"/>
            </w:pPr>
            <w:r>
              <w:rPr>
                <w:rStyle w:val="row-content-rich-text"/>
              </w:rPr>
              <w:t xml:space="preserve">The accuracy of the estimates will depend on the accuracy of coding in the NHMD and the NMD (see data sources for DQS for each data source). In particular the accuracy of coding of principal diagnosis, hospital transfers, deaths in hospital and underlying cause of death are central to the accuracy of the estimates.</w:t>
            </w:r>
          </w:p>
          <w:p>
            <w:pPr>
              <w:spacing w:after="160"/>
            </w:pPr>
            <w:r>
              <w:rPr>
                <w:rStyle w:val="row-content-rich-text"/>
              </w:rPr>
              <w:t xml:space="preserve">The accuracy of Indigenous estimates is also reliant on the appropriate identification of Indigenous people in the NHMD and the NMD. NMD data from 5 jurisdictions (NSW, Qld, WA, SA and NT) have been assessed by the AIHW as having adequate Indigenous identification from 1998 onwards and only these 5 jurisdictions are included in the estimates reported by Indigenous status.  Indigenous counts for the NT exclude acute coronary events treated in the private hospital in the NT. All non-fatal events treated in the private hospital in the NT are therefore included in the incidence counts for Other Australians.</w:t>
            </w:r>
          </w:p>
          <w:p>
            <w:pPr>
              <w:spacing w:after="160"/>
            </w:pPr>
            <w:r>
              <w:rPr>
                <w:rStyle w:val="row-content-rich-text"/>
              </w:rPr>
              <w:t xml:space="preserve">Data for 2010 have been adjusted for the additional deaths arising from outstanding registrations of deaths in Queensland in 2010. Deaths occurring between 1992 and 2006 but registered in 2010 by the Queensland Registry of Births, Deaths and Marriages are excluded from the estimates for Indigenous and Other Australians. For more details please refer to Technical note 3 in </w:t>
            </w:r>
            <w:r>
              <w:rPr>
                <w:rStyle w:val="row-content-rich-text"/>
                <w:i/>
              </w:rPr>
              <w:t xml:space="preserve">Causes of death, Australia, 2010</w:t>
            </w:r>
            <w:r>
              <w:rPr>
                <w:rStyle w:val="row-content-rich-text"/>
              </w:rPr>
              <w:t xml:space="preserve"> (ABS cat. no. 3303.0).</w:t>
            </w:r>
          </w:p>
          <w:p>
            <w:pPr/>
            <w:r>
              <w:rPr>
                <w:rStyle w:val="row-content-rich-text"/>
              </w:rPr>
              <w:t xml:space="preserve">NMD data for 2011 and 2012 have been revised since the previous reporting cycle. In this reporting cycle, deaths registered in 2011 and earlier are based on the final version of cause of death data; deaths registered in 2012 and 2013 are based on revised and preliminary versions respectively and are subject to further revision by the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fourth year in which this indicator has been reported. This is the second year in which this indicator is reported for each jurisdiction.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983c5c07dd443b">
              <w:r>
                <w:rPr>
                  <w:rStyle w:val="Hyperlink"/>
                </w:rPr>
                <w:t xml:space="preserve">National Healthcare Agreement: PI 09-Incidence of heart attacks (acute coronary events), 2015 QS</w:t>
              </w:r>
            </w:hyperlink>
          </w:p>
          <w:p>
            <w:pPr>
              <w:pStyle w:val="registration-status"/>
              <w:spacing w:before="0" w:after="0"/>
            </w:pPr>
            <w:hyperlink w:history="true" r:id="Rd3dd27abb94b4c82">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23c3730745984964">
              <w:r>
                <w:rPr>
                  <w:rStyle w:val="Hyperlink"/>
                </w:rPr>
                <w:t xml:space="preserve">National Healthcare Agreement: PI 09-Incidence of heart attacks (acute coronary events), 2017 QS</w:t>
              </w:r>
            </w:hyperlink>
          </w:p>
          <w:p>
            <w:pPr>
              <w:pStyle w:val="registration-status"/>
              <w:spacing w:before="0" w:after="0"/>
            </w:pPr>
            <w:hyperlink w:history="true" r:id="R9b9ce5ca14884a90">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b33fa1ffd6a46ab">
              <w:r>
                <w:rPr>
                  <w:rStyle w:val="Hyperlink"/>
                </w:rPr>
                <w:t xml:space="preserve">National Healthcare Agreement: PI 09–Incidence of heart attacks (acute coronary events), 2016</w:t>
              </w:r>
            </w:hyperlink>
          </w:p>
          <w:p>
            <w:pPr>
              <w:pStyle w:val="registration-status"/>
              <w:spacing w:before="0" w:after="0"/>
            </w:pPr>
            <w:hyperlink w:history="true" r:id="Ra57df7424304487f">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12b1be8e214f40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600086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f19089f0b04b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b1be8e214f40ae" /><Relationship Type="http://schemas.openxmlformats.org/officeDocument/2006/relationships/header" Target="/word/header1.xml" Id="Ra1ce8f9d70324a6c" /><Relationship Type="http://schemas.openxmlformats.org/officeDocument/2006/relationships/settings" Target="/word/settings.xml" Id="R630878daf091432b" /><Relationship Type="http://schemas.openxmlformats.org/officeDocument/2006/relationships/styles" Target="/word/styles.xml" Id="R28f6d4cdf22b4f0a" /><Relationship Type="http://schemas.openxmlformats.org/officeDocument/2006/relationships/numbering" Target="/word/numbering.xml" Id="R77b02deb64a843ba" /><Relationship Type="http://schemas.openxmlformats.org/officeDocument/2006/relationships/hyperlink" Target="https://meteor-uat.aihw.gov.au/RegistrationAuthority/14" TargetMode="External" Id="R31c2f7274d6040c7" /><Relationship Type="http://schemas.openxmlformats.org/officeDocument/2006/relationships/hyperlink" Target="http://www.aihw.gov.au/" TargetMode="External" Id="R44f479760fae4fdc" /><Relationship Type="http://schemas.openxmlformats.org/officeDocument/2006/relationships/hyperlink" Target="http://www.aihw.gov.au/hospitals/" TargetMode="External" Id="Re13de84bde4d4292" /><Relationship Type="http://schemas.openxmlformats.org/officeDocument/2006/relationships/hyperlink" Target="http://www.aihw.gov.au/deaths/" TargetMode="External" Id="R66382ddf4d8b4604" /><Relationship Type="http://schemas.openxmlformats.org/officeDocument/2006/relationships/hyperlink" Target="https://meteor-uat.aihw.gov.au/content/611030" TargetMode="External" Id="Rd9492935e76e44e1" /><Relationship Type="http://schemas.openxmlformats.org/officeDocument/2006/relationships/hyperlink" Target="http://www.aihw.gov.au/publication-detail/?id=60129550483" TargetMode="External" Id="R71272d4b7ea24908" /><Relationship Type="http://schemas.openxmlformats.org/officeDocument/2006/relationships/hyperlink" Target="http://www.abs.gov.au/ausstats/abs@.nsf/mf/3303.0/" TargetMode="External" Id="Rff933ee97aa144f1" /><Relationship Type="http://schemas.openxmlformats.org/officeDocument/2006/relationships/hyperlink" Target="http://www.abs.gov.au/ausstats/abs@.nsf/mf/3302.0/" TargetMode="External" Id="R920db25c6b4a4140" /><Relationship Type="http://schemas.openxmlformats.org/officeDocument/2006/relationships/hyperlink" Target="http://www.aihw.gov.au/deaths/aihw-deaths-data/" TargetMode="External" Id="R3178593a20d24854" /><Relationship Type="http://schemas.openxmlformats.org/officeDocument/2006/relationships/hyperlink" Target="http://www.aihw.gov.au/WorkArea/DownloadAsset.aspx?id=60129547560" TargetMode="External" Id="R9937870a63bb4495" /><Relationship Type="http://schemas.openxmlformats.org/officeDocument/2006/relationships/hyperlink" Target="https://meteor-uat.aihw.gov.au/content/559125" TargetMode="External" Id="R5c983c5c07dd443b" /><Relationship Type="http://schemas.openxmlformats.org/officeDocument/2006/relationships/hyperlink" Target="https://meteor-uat.aihw.gov.au/RegistrationAuthority/14" TargetMode="External" Id="Rd3dd27abb94b4c82" /><Relationship Type="http://schemas.openxmlformats.org/officeDocument/2006/relationships/hyperlink" Target="https://meteor-uat.aihw.gov.au/content/630419" TargetMode="External" Id="R23c3730745984964" /><Relationship Type="http://schemas.openxmlformats.org/officeDocument/2006/relationships/hyperlink" Target="https://meteor-uat.aihw.gov.au/RegistrationAuthority/14" TargetMode="External" Id="R9b9ce5ca14884a90" /><Relationship Type="http://schemas.openxmlformats.org/officeDocument/2006/relationships/hyperlink" Target="https://meteor-uat.aihw.gov.au/content/598799" TargetMode="External" Id="R3b33fa1ffd6a46ab" /><Relationship Type="http://schemas.openxmlformats.org/officeDocument/2006/relationships/hyperlink" Target="https://meteor-uat.aihw.gov.au/RegistrationAuthority/14" TargetMode="External" Id="Ra57df7424304487f" /></Relationships>
</file>

<file path=word/_rels/header1.xml.rels>&#65279;<?xml version="1.0" encoding="utf-8"?><Relationships xmlns="http://schemas.openxmlformats.org/package/2006/relationships"><Relationship Type="http://schemas.openxmlformats.org/officeDocument/2006/relationships/image" Target="/media/image.png" Id="R72f19089f0b04b7f" /></Relationships>
</file>