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6ca9c9c357464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Consumer outcomes participation,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Consumer outcomes participation,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Consumer outcomes participation,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933c2b7c243c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episodes of ambulatory mental health care with completed consumer outcome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Self-assessment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self-assessment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81b5275d514b0e">
              <w:r>
                <w:rPr>
                  <w:rStyle w:val="Hyperlink"/>
                </w:rPr>
                <w:t xml:space="preserve">Key Performance Indicators for Australian Public Mental Health Services (Service level version) (2015–)</w:t>
              </w:r>
            </w:hyperlink>
          </w:p>
          <w:p>
            <w:pPr>
              <w:pStyle w:val="registration-status"/>
              <w:spacing w:before="0" w:after="0"/>
            </w:pPr>
            <w:hyperlink w:history="true" r:id="R1c662b5220ee4ddd">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3e7c13307dce4834">
              <w:r>
                <w:rPr>
                  <w:rStyle w:val="Hyperlink"/>
                </w:rPr>
                <w:t xml:space="preserve">Brief ambulatory care episodes</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Behaviour and System Identification Scale (BASIS-32) and Kessler-10-Plus (K10+).</w:t>
            </w:r>
          </w:p>
          <w:p>
            <w:pPr>
              <w:pStyle w:val="ListParagraph"/>
              <w:numPr>
                <w:ilvl w:val="0"/>
                <w:numId w:val="4"/>
              </w:numPr>
            </w:pPr>
            <w:r>
              <w:rPr>
                <w:rStyle w:val="row-content-rich-text"/>
              </w:rPr>
              <w:t xml:space="preserve"> Only the following versions of the Strengths and Difficulties Questionnaire (SDQ) are to be considered in the construction of this indicator:</w:t>
            </w:r>
            <w:r>
              <w:br/>
            </w:r>
            <w:r>
              <w:rPr>
                <w:rStyle w:val="row-content-rich-text"/>
              </w:rPr>
              <w:t xml:space="preserve">        • The parent-rated version for children aged 4–10 years;</w:t>
            </w:r>
            <w:r>
              <w:br/>
            </w:r>
            <w:r>
              <w:rPr>
                <w:rStyle w:val="row-content-rich-text"/>
              </w:rPr>
              <w:t xml:space="preserve">        • Either the parent-rated version and/or the self-report version for adolescents aged 11–17 years.</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367f19aec24fc3">
              <w:r>
                <w:rPr>
                  <w:rStyle w:val="Hyperlink"/>
                </w:rPr>
                <w:t xml:space="preserve">Responsive</w:t>
              </w:r>
            </w:hyperlink>
            <w:r>
              <w:br/>
            </w:r>
            <w:r>
              <w:br/>
            </w:r>
          </w:p>
          <w:p>
            <w:hyperlink w:history="true" r:id="Rf117345fc7374e14">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Classification Collection.</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in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 </w:t>
            </w:r>
          </w:p>
          <w:p>
            <w:pPr>
              <w:pStyle w:val="ListParagraph"/>
              <w:numPr>
                <w:ilvl w:val="0"/>
                <w:numId w:val="6"/>
              </w:numPr>
            </w:pPr>
            <w:r>
              <w:rPr>
                <w:rStyle w:val="row-content-rich-text"/>
              </w:rPr>
              <w:t xml:space="preserve">The National Outcomes and Casemix Collection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39111c72c046d4">
              <w:r>
                <w:rPr>
                  <w:rStyle w:val="Hyperlink"/>
                </w:rPr>
                <w:t xml:space="preserve">KPIs for Australian Public Mental Health Services: PI 13 – Mental health consumer outcomes participation, 2018 (Service level)</w:t>
              </w:r>
            </w:hyperlink>
          </w:p>
          <w:p>
            <w:pPr>
              <w:pStyle w:val="registration-status"/>
              <w:spacing w:before="0" w:after="0"/>
            </w:pPr>
            <w:hyperlink w:history="true" r:id="R59a8f4704a254f39">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9fdde09a6d50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aadec51d4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de09a6d5041fb" /><Relationship Type="http://schemas.openxmlformats.org/officeDocument/2006/relationships/header" Target="/word/header1.xml" Id="R8142b4be41b1443a" /><Relationship Type="http://schemas.openxmlformats.org/officeDocument/2006/relationships/settings" Target="/word/settings.xml" Id="Rbf817144d1d54522" /><Relationship Type="http://schemas.openxmlformats.org/officeDocument/2006/relationships/styles" Target="/word/styles.xml" Id="Rad6632763b294c11" /><Relationship Type="http://schemas.openxmlformats.org/officeDocument/2006/relationships/numbering" Target="/word/numbering.xml" Id="Rfdb9156fc84a4630" /><Relationship Type="http://schemas.openxmlformats.org/officeDocument/2006/relationships/hyperlink" Target="https://meteor-uat.aihw.gov.au/RegistrationAuthority/14" TargetMode="External" Id="Ra95933c2b7c243c2" /><Relationship Type="http://schemas.openxmlformats.org/officeDocument/2006/relationships/hyperlink" Target="https://meteor-uat.aihw.gov.au/content/598184" TargetMode="External" Id="R4e81b5275d514b0e" /><Relationship Type="http://schemas.openxmlformats.org/officeDocument/2006/relationships/hyperlink" Target="https://meteor-uat.aihw.gov.au/RegistrationAuthority/14" TargetMode="External" Id="R1c662b5220ee4ddd" /><Relationship Type="http://schemas.openxmlformats.org/officeDocument/2006/relationships/hyperlink" Target="https://meteor-uat.aihw.gov.au/content/605545" TargetMode="External" Id="R3e7c13307dce4834" /><Relationship Type="http://schemas.openxmlformats.org/officeDocument/2006/relationships/hyperlink" Target="https://meteor-uat.aihw.gov.au/content/584869" TargetMode="External" Id="R17367f19aec24fc3" /><Relationship Type="http://schemas.openxmlformats.org/officeDocument/2006/relationships/hyperlink" Target="https://meteor-uat.aihw.gov.au/content/584863" TargetMode="External" Id="Rf117345fc7374e14" /><Relationship Type="http://schemas.openxmlformats.org/officeDocument/2006/relationships/hyperlink" Target="https://meteor-uat.aihw.gov.au/content/693357" TargetMode="External" Id="R9439111c72c046d4" /><Relationship Type="http://schemas.openxmlformats.org/officeDocument/2006/relationships/hyperlink" Target="https://meteor-uat.aihw.gov.au/RegistrationAuthority/14" TargetMode="External" Id="R59a8f4704a254f39" /></Relationships>
</file>

<file path=word/_rels/header1.xml.rels>&#65279;<?xml version="1.0" encoding="utf-8"?><Relationships xmlns="http://schemas.openxmlformats.org/package/2006/relationships"><Relationship Type="http://schemas.openxmlformats.org/officeDocument/2006/relationships/image" Target="/media/image.png" Id="Re7baadec51d44d5e" /></Relationships>
</file>