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4eec563be4a83"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 urgency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 urgency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2474c0da54a0a">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urgency with which a non-admitted patient service event is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Urgent (within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Urgent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Semi-urgent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Non-urgent (within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category recorded is that assigned to the non-admitted patient service request by the healthcare provider.</w:t>
            </w:r>
          </w:p>
          <w:p>
            <w:pPr>
              <w:spacing w:after="160"/>
            </w:pPr>
            <w:r>
              <w:rPr>
                <w:rStyle w:val="row-content-rich-text"/>
              </w:rPr>
              <w:t xml:space="preserve">CODE 1   Urgent (within 21 days)</w:t>
            </w:r>
          </w:p>
          <w:p>
            <w:pPr>
              <w:spacing w:after="160"/>
            </w:pPr>
            <w:r>
              <w:rPr>
                <w:rStyle w:val="row-content-rich-text"/>
              </w:rPr>
              <w:t xml:space="preserve">Includes a non-admitted patient who has been assigned an ‘Urgent’ urgency category based on the assessment that they should receive a non-admitted patient service event within 21 days.</w:t>
            </w:r>
          </w:p>
          <w:p>
            <w:pPr>
              <w:spacing w:after="160"/>
            </w:pPr>
            <w:r>
              <w:rPr>
                <w:rStyle w:val="row-content-rich-text"/>
              </w:rPr>
              <w:t xml:space="preserve">CODE 2   Urgent (within 30 days)</w:t>
            </w:r>
          </w:p>
          <w:p>
            <w:pPr>
              <w:spacing w:after="160"/>
            </w:pPr>
            <w:r>
              <w:rPr>
                <w:rStyle w:val="row-content-rich-text"/>
              </w:rPr>
              <w:t xml:space="preserve">Includes a non-admitted patient who has been assigned an ‘Urgent’ urgency category based on the assessment that they should receive a non-admitted patient service event within 30 days.</w:t>
            </w:r>
          </w:p>
          <w:p>
            <w:pPr>
              <w:spacing w:after="160"/>
            </w:pPr>
            <w:r>
              <w:rPr>
                <w:rStyle w:val="row-content-rich-text"/>
              </w:rPr>
              <w:t xml:space="preserve">CODE 3   Urgent (number of days not specified)</w:t>
            </w:r>
          </w:p>
          <w:p>
            <w:pPr>
              <w:spacing w:after="160"/>
            </w:pPr>
            <w:r>
              <w:rPr>
                <w:rStyle w:val="row-content-rich-text"/>
              </w:rPr>
              <w:t xml:space="preserve">Includes a non-admitted patient who has been assigned an ‘Urgent’ urgency category with no associated timeframe within which the non-admitted patient service event should occur.</w:t>
            </w:r>
          </w:p>
          <w:p>
            <w:pPr>
              <w:spacing w:after="160"/>
            </w:pPr>
            <w:r>
              <w:rPr>
                <w:rStyle w:val="row-content-rich-text"/>
              </w:rPr>
              <w:t xml:space="preserve">CODE 4   Semi-urgent (within 90 days)</w:t>
            </w:r>
          </w:p>
          <w:p>
            <w:pPr>
              <w:spacing w:after="160"/>
            </w:pPr>
            <w:r>
              <w:rPr>
                <w:rStyle w:val="row-content-rich-text"/>
              </w:rPr>
              <w:t xml:space="preserve">Includes a non-admitted patient who has been assigned a ‘Semi-urgent’ urgency category based on the assessment that they should receive a non-admitted patient service event within 90 days.</w:t>
            </w:r>
          </w:p>
          <w:p>
            <w:pPr>
              <w:spacing w:after="160"/>
            </w:pPr>
            <w:r>
              <w:rPr>
                <w:rStyle w:val="row-content-rich-text"/>
              </w:rPr>
              <w:t xml:space="preserve">CODE 5   Semi-urgent (number of days not specified)</w:t>
            </w:r>
          </w:p>
          <w:p>
            <w:pPr>
              <w:spacing w:after="160"/>
            </w:pPr>
            <w:r>
              <w:rPr>
                <w:rStyle w:val="row-content-rich-text"/>
              </w:rPr>
              <w:t xml:space="preserve">Includes a non-admitted patient who has been assigned a ‘Semi-urgent’ urgency category with no associated timeframe within which the non-admitted patient service event should occur.</w:t>
            </w:r>
          </w:p>
          <w:p>
            <w:pPr>
              <w:spacing w:after="160"/>
            </w:pPr>
            <w:r>
              <w:rPr>
                <w:rStyle w:val="row-content-rich-text"/>
              </w:rPr>
              <w:t xml:space="preserve">CODE 6   Non-urgent (within 365 days)</w:t>
            </w:r>
          </w:p>
          <w:p>
            <w:pPr>
              <w:spacing w:after="160"/>
            </w:pPr>
            <w:r>
              <w:rPr>
                <w:rStyle w:val="row-content-rich-text"/>
              </w:rPr>
              <w:t xml:space="preserve">Includes a non-admitted patient who has been assigned a ‘Non-urgent’ urgency category based on the assessment that they should receive a non-admitted patient service event within 365 days.</w:t>
            </w:r>
          </w:p>
          <w:p>
            <w:pPr>
              <w:spacing w:after="160"/>
            </w:pPr>
            <w:r>
              <w:rPr>
                <w:rStyle w:val="row-content-rich-text"/>
              </w:rPr>
              <w:t xml:space="preserve">CODE 7   Non-urgent (number of days not specified)</w:t>
            </w:r>
          </w:p>
          <w:p>
            <w:pPr>
              <w:spacing w:after="160"/>
            </w:pPr>
            <w:r>
              <w:rPr>
                <w:rStyle w:val="row-content-rich-text"/>
              </w:rPr>
              <w:t xml:space="preserve">Includes a non-admitted patient who has been assigned a ‘Non-urgent’ urgency category with no associated timeframe within which the non-admitted patient service event should occur.</w:t>
            </w:r>
          </w:p>
          <w:p>
            <w:pPr>
              <w:spacing w:after="160"/>
            </w:pPr>
            <w:r>
              <w:rPr>
                <w:rStyle w:val="row-content-rich-text"/>
              </w:rPr>
              <w:t xml:space="preserve">CODE 9   Not stated/inadequately described</w:t>
            </w:r>
          </w:p>
          <w:p>
            <w:pPr/>
            <w:r>
              <w:rPr>
                <w:rStyle w:val="row-content-rich-text"/>
              </w:rPr>
              <w:t xml:space="preserve">Includes a non-admitted patient who has not been, or is unable to be, assigned an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health-care providers' urgency category days do not align with those specified by the urgency category, allocation to an urgency category should be based on the health-care providers usual operation and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0055bbeae64ce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7634f644e64411">
              <w:r>
                <w:rPr>
                  <w:rStyle w:val="Hyperlink"/>
                </w:rPr>
                <w:t xml:space="preserve">Non-admitted patient service request—urgency category code N</w:t>
              </w:r>
            </w:hyperlink>
          </w:p>
          <w:p>
            <w:pPr>
              <w:pStyle w:val="registration-status"/>
              <w:spacing w:before="0" w:after="0"/>
            </w:pPr>
            <w:hyperlink w:history="true" r:id="R17a1eafa13a24450">
              <w:r>
                <w:rPr>
                  <w:rStyle w:val="Hyperlink"/>
                  <w:color w:val="244061"/>
                </w:rPr>
                <w:t xml:space="preserve">Health!</w:t>
              </w:r>
            </w:hyperlink>
            <w:r>
              <w:rPr>
                <w:rStyle w:val="row-content"/>
                <w:color w:val="244061"/>
              </w:rPr>
              <w:t xml:space="preserve">, Recorded 05/01/2018</w:t>
            </w:r>
          </w:p>
          <w:p>
            <w:r>
              <w:br/>
            </w:r>
          </w:p>
        </w:tc>
      </w:tr>
    </w:tbl>
    <w:p>
      <w:r>
        <w:br/>
      </w:r>
    </w:p>
    <w:sectPr>
      <w:footerReference xmlns:r="http://schemas.openxmlformats.org/officeDocument/2006/relationships" w:type="default" r:id="R8fabcf2f05e8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8e7c4cd71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bcf2f05e84b82" /><Relationship Type="http://schemas.openxmlformats.org/officeDocument/2006/relationships/header" Target="/word/header1.xml" Id="R2c6f7ae1d630492e" /><Relationship Type="http://schemas.openxmlformats.org/officeDocument/2006/relationships/settings" Target="/word/settings.xml" Id="R0e7f75803e904361" /><Relationship Type="http://schemas.openxmlformats.org/officeDocument/2006/relationships/styles" Target="/word/styles.xml" Id="R8336bc4347a1496a" /><Relationship Type="http://schemas.openxmlformats.org/officeDocument/2006/relationships/hyperlink" Target="https://meteor-uat.aihw.gov.au/RegistrationAuthority/14" TargetMode="External" Id="Ra142474c0da54a0a" /><Relationship Type="http://schemas.openxmlformats.org/officeDocument/2006/relationships/hyperlink" Target="https://meteor-uat.aihw.gov.au/content/246013" TargetMode="External" Id="Rb70055bbeae64ce4" /><Relationship Type="http://schemas.openxmlformats.org/officeDocument/2006/relationships/hyperlink" Target="https://meteor-uat.aihw.gov.au/content/596643" TargetMode="External" Id="R1e7634f644e64411" /><Relationship Type="http://schemas.openxmlformats.org/officeDocument/2006/relationships/hyperlink" Target="https://meteor-uat.aihw.gov.au/RegistrationAuthority/14" TargetMode="External" Id="R17a1eafa13a24450" /></Relationships>
</file>

<file path=word/_rels/header1.xml.rels>&#65279;<?xml version="1.0" encoding="utf-8"?><Relationships xmlns="http://schemas.openxmlformats.org/package/2006/relationships"><Relationship Type="http://schemas.openxmlformats.org/officeDocument/2006/relationships/image" Target="/media/image.png" Id="R8208e7c4cd71484c" /></Relationships>
</file>