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c4015aae56648a9"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event—first service event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event—first service event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First service event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596610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1a8a65f7d64464">
              <w:r>
                <w:rPr>
                  <w:rStyle w:val="Hyperlink"/>
                  <w:color w:val="244061"/>
                </w:rPr>
                <w:t xml:space="preserve">Health!</w:t>
              </w:r>
            </w:hyperlink>
            <w:r>
              <w:rPr>
                <w:rStyle w:val="row-content"/>
                <w:color w:val="244061"/>
              </w:rPr>
              <w:t xml:space="preserve">, Standard 07/10/2020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non-admitted patient service event was the first service event for a particular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9f1bfad428e4d2b">
              <w:r>
                <w:rPr>
                  <w:rStyle w:val="Hyperlink"/>
                </w:rPr>
                <w:t xml:space="preserve">Non-admitted patient service event—first service event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203406b97e84945">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whether the non-admitted patient service event is the first non-admitted patient service event for a specific patient at this non-admitted patient service, following a service request.</w:t>
            </w:r>
          </w:p>
          <w:p>
            <w:pPr>
              <w:spacing w:after="160"/>
            </w:pPr>
            <w:r>
              <w:rPr>
                <w:rStyle w:val="row-content-rich-text"/>
              </w:rPr>
              <w:t xml:space="preserve">Service requests include:</w:t>
            </w:r>
          </w:p>
          <w:p>
            <w:pPr>
              <w:pStyle w:val="ListParagraph"/>
              <w:numPr>
                <w:ilvl w:val="0"/>
                <w:numId w:val="2"/>
              </w:numPr>
            </w:pPr>
            <w:r>
              <w:rPr>
                <w:rStyle w:val="row-content-rich-text"/>
              </w:rPr>
              <w:t xml:space="preserve">formal referral from a health-care provider, such as a general practitioner or specialist, or from a hospital, such as an emergency department, and</w:t>
            </w:r>
          </w:p>
          <w:p>
            <w:pPr>
              <w:pStyle w:val="ListParagraph"/>
              <w:numPr>
                <w:ilvl w:val="0"/>
                <w:numId w:val="2"/>
              </w:numPr>
            </w:pPr>
            <w:r>
              <w:rPr>
                <w:rStyle w:val="row-content-rich-text"/>
              </w:rPr>
              <w:t xml:space="preserve">self-referral or attendance at a walk-in clinic.</w:t>
            </w:r>
          </w:p>
          <w:p>
            <w:pPr>
              <w:spacing w:after="160"/>
            </w:pPr>
            <w:r>
              <w:rPr>
                <w:rStyle w:val="row-content-rich-text"/>
              </w:rPr>
              <w:t xml:space="preserve">CODE 1   Yes</w:t>
            </w:r>
          </w:p>
          <w:p>
            <w:pPr>
              <w:spacing w:after="160"/>
            </w:pPr>
            <w:r>
              <w:rPr>
                <w:rStyle w:val="row-content-rich-text"/>
              </w:rPr>
              <w:t xml:space="preserve">Includes all first non-admitted patient service events, including reviews when they are initiated through a new service request.</w:t>
            </w:r>
          </w:p>
          <w:p>
            <w:pPr>
              <w:spacing w:after="160"/>
            </w:pPr>
            <w:r>
              <w:rPr>
                <w:rStyle w:val="row-content-rich-text"/>
              </w:rPr>
              <w:t xml:space="preserve">If the service request is for services from multiple non-admitted patient services, irrespective of whether the patient has attended another non-admitted patient service, if it is the patient's first service event with this non-admitted patient service, a Yes should be recorded.</w:t>
            </w:r>
          </w:p>
          <w:p>
            <w:pPr>
              <w:spacing w:after="160"/>
            </w:pPr>
            <w:r>
              <w:rPr>
                <w:rStyle w:val="row-content-rich-text"/>
              </w:rPr>
              <w:t xml:space="preserve">CODE 2   No</w:t>
            </w:r>
          </w:p>
          <w:p>
            <w:pPr>
              <w:spacing w:after="160"/>
            </w:pPr>
            <w:r>
              <w:rPr>
                <w:rStyle w:val="row-content-rich-text"/>
              </w:rPr>
              <w:t xml:space="preserve">Includes non-admitted patient service events that involve follow up or clinical review service events that occur without a new service request.</w:t>
            </w:r>
          </w:p>
          <w:p>
            <w:pPr>
              <w:spacing w:after="160"/>
            </w:pPr>
            <w:r>
              <w:rPr>
                <w:rStyle w:val="row-content-rich-text"/>
              </w:rPr>
              <w:t xml:space="preserve">A No should be recorded for a service event:</w:t>
            </w:r>
          </w:p>
          <w:p>
            <w:pPr>
              <w:pStyle w:val="ListParagraph"/>
              <w:numPr>
                <w:ilvl w:val="0"/>
                <w:numId w:val="3"/>
              </w:numPr>
            </w:pPr>
            <w:r>
              <w:rPr>
                <w:rStyle w:val="row-content-rich-text"/>
              </w:rPr>
              <w:t xml:space="preserve">following a service request made solely to enable the continuation of non-admitted patient services because an earlier service request has expired; and</w:t>
            </w:r>
          </w:p>
          <w:p>
            <w:pPr>
              <w:pStyle w:val="ListParagraph"/>
              <w:numPr>
                <w:ilvl w:val="0"/>
                <w:numId w:val="3"/>
              </w:numPr>
            </w:pPr>
            <w:r>
              <w:rPr>
                <w:rStyle w:val="row-content-rich-text"/>
              </w:rPr>
              <w:t xml:space="preserve">where a first service event was recorded following the earlier service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Treatment under a service request involves a first non-admitted patient service and any continuing management/treatment/review up to the stage where the patient is discharged from the care of the non-admitted patient service.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Measurement of Access Time to Elective Surgery (MATES)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55ce7b24366428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bb776fb689c4744">
              <w:r>
                <w:rPr>
                  <w:rStyle w:val="Hyperlink"/>
                </w:rPr>
                <w:t xml:space="preserve">First Surgical Service Event NBEDS</w:t>
              </w:r>
            </w:hyperlink>
          </w:p>
          <w:p>
            <w:pPr>
              <w:pStyle w:val="registration-status"/>
              <w:spacing w:before="0" w:after="0"/>
            </w:pPr>
            <w:hyperlink w:history="true" r:id="R0f04d040e7664606">
              <w:r>
                <w:rPr>
                  <w:rStyle w:val="Hyperlink"/>
                  <w:color w:val="244061"/>
                </w:rPr>
                <w:t xml:space="preserve">Health!</w:t>
              </w:r>
            </w:hyperlink>
            <w:r>
              <w:rPr>
                <w:rStyle w:val="row-content"/>
                <w:color w:val="244061"/>
              </w:rPr>
              <w:t xml:space="preserve">, Recorded 05/01/2018</w:t>
            </w:r>
          </w:p>
          <w:p>
            <w:r>
              <w:br/>
            </w:r>
            <w:hyperlink w:history="true" r:id="R6d6db966ebf34184">
              <w:r>
                <w:rPr>
                  <w:rStyle w:val="Hyperlink"/>
                </w:rPr>
                <w:t xml:space="preserve">Non-admitted patient NBEDS 2021–22</w:t>
              </w:r>
            </w:hyperlink>
          </w:p>
          <w:p>
            <w:pPr>
              <w:pStyle w:val="registration-status"/>
              <w:spacing w:before="0" w:after="0"/>
            </w:pPr>
            <w:hyperlink w:history="true" r:id="Rae957847e0da407d">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4b90a6fe6d2a421b">
              <w:r>
                <w:rPr>
                  <w:rStyle w:val="Hyperlink"/>
                </w:rPr>
                <w:t xml:space="preserve">Non-admitted patient NBEDS 2022–23</w:t>
              </w:r>
            </w:hyperlink>
          </w:p>
          <w:p>
            <w:pPr>
              <w:pStyle w:val="registration-status"/>
              <w:spacing w:before="0" w:after="0"/>
            </w:pPr>
            <w:hyperlink w:history="true" r:id="R5826975b300d4a61">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8c853ec9a0f740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596610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fd95693fc741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853ec9a0f740d6" /><Relationship Type="http://schemas.openxmlformats.org/officeDocument/2006/relationships/header" Target="/word/header1.xml" Id="R1f4101eef5eb43f8" /><Relationship Type="http://schemas.openxmlformats.org/officeDocument/2006/relationships/settings" Target="/word/settings.xml" Id="Rdd1613a608fd4d47" /><Relationship Type="http://schemas.openxmlformats.org/officeDocument/2006/relationships/styles" Target="/word/styles.xml" Id="R8d764f1c9d0a4b3f" /><Relationship Type="http://schemas.openxmlformats.org/officeDocument/2006/relationships/numbering" Target="/word/numbering.xml" Id="Ref433c95b8df4af2" /><Relationship Type="http://schemas.openxmlformats.org/officeDocument/2006/relationships/hyperlink" Target="https://meteor-uat.aihw.gov.au/RegistrationAuthority/14" TargetMode="External" Id="R851a8a65f7d64464" /><Relationship Type="http://schemas.openxmlformats.org/officeDocument/2006/relationships/hyperlink" Target="https://meteor-uat.aihw.gov.au/content/596518" TargetMode="External" Id="R99f1bfad428e4d2b" /><Relationship Type="http://schemas.openxmlformats.org/officeDocument/2006/relationships/hyperlink" Target="https://meteor-uat.aihw.gov.au/content/270732" TargetMode="External" Id="R5203406b97e84945" /><Relationship Type="http://schemas.openxmlformats.org/officeDocument/2006/relationships/hyperlink" Target="https://meteor-uat.aihw.gov.au/content/246013" TargetMode="External" Id="R855ce7b24366428e" /><Relationship Type="http://schemas.openxmlformats.org/officeDocument/2006/relationships/hyperlink" Target="https://meteor-uat.aihw.gov.au/content/596329" TargetMode="External" Id="R0bb776fb689c4744" /><Relationship Type="http://schemas.openxmlformats.org/officeDocument/2006/relationships/hyperlink" Target="https://meteor-uat.aihw.gov.au/RegistrationAuthority/14" TargetMode="External" Id="R0f04d040e7664606" /><Relationship Type="http://schemas.openxmlformats.org/officeDocument/2006/relationships/hyperlink" Target="https://meteor-uat.aihw.gov.au/content/727331" TargetMode="External" Id="R6d6db966ebf34184" /><Relationship Type="http://schemas.openxmlformats.org/officeDocument/2006/relationships/hyperlink" Target="https://meteor-uat.aihw.gov.au/RegistrationAuthority/14" TargetMode="External" Id="Rae957847e0da407d" /><Relationship Type="http://schemas.openxmlformats.org/officeDocument/2006/relationships/hyperlink" Target="https://meteor-uat.aihw.gov.au/content/742186" TargetMode="External" Id="R4b90a6fe6d2a421b" /><Relationship Type="http://schemas.openxmlformats.org/officeDocument/2006/relationships/hyperlink" Target="https://meteor-uat.aihw.gov.au/RegistrationAuthority/14" TargetMode="External" Id="R5826975b300d4a61" /></Relationships>
</file>

<file path=word/_rels/header1.xml.rels>&#65279;<?xml version="1.0" encoding="utf-8"?><Relationships xmlns="http://schemas.openxmlformats.org/package/2006/relationships"><Relationship Type="http://schemas.openxmlformats.org/officeDocument/2006/relationships/image" Target="/media/image.png" Id="Rb7fd95693fc741ce" /></Relationships>
</file>