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45709b5b3485d"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2013-14;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87b9bd23540af">
              <w:r>
                <w:rPr>
                  <w:rStyle w:val="Hyperlink"/>
                  <w:color w:val="244061"/>
                </w:rPr>
                <w:t xml:space="preserve">AIHW Data Quality Statements</w:t>
              </w:r>
            </w:hyperlink>
            <w:r>
              <w:rPr>
                <w:rStyle w:val="row-content"/>
                <w:color w:val="244061"/>
              </w:rPr>
              <w:t xml:space="preserve">, Standard 02/12/2014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the data to the AIHW via SQPSC for national collation, approximately three months after the reference period.</w:t>
            </w:r>
          </w:p>
          <w:p>
            <w:pPr/>
            <w:r>
              <w:rPr>
                <w:rStyle w:val="row-content-rich-text"/>
              </w:rPr>
              <w:t xml:space="preserve">At present, three reports have been published using the SQPSC ‘ad hoc’ seclusion data collection (see below for link to 2014 report). The first seclusion report was released on the Mental health services in Australia website in July 2013 with a reference period of 2011–12. Subsequent reports for 2012-13 and 2013-14 were released in November 2013 and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(https://mhsa.aihw.gov.au/services/admitted-patient/restrictive-practices). Additional disaggregation of the seclusion data are in this AIHW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(mhsa.aihw.gov.au/services/admitted-patient/restrictive-practices).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relates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tblGrid>
            <w:tr>
              <w:trPr/>
              <w:tc>
                <w:tcPr>
                  <w:tcW w:w="5000" w:type="pct"/>
                  <w:vAlign w:val="top"/>
                </w:tcPr>
                <w:p>
                  <w:pPr/>
                  <w:r>
                    <w:rPr>
                      <w:rStyle w:val="row-content-rich-text"/>
                    </w:rPr>
                    <w:t xml:space="preserve"> </w:t>
                  </w:r>
                </w:p>
              </w:tc>
            </w:tr>
          </w:tbl>
          <w:p>
            <w:r>
              <w:t xml:space="preserve">Estimated acute bed coverage for 2013–14 seclusion data was over 95% based on acute beds reported to the Mental Health Establishments National Minimum Data Set in 2012–13.</w:t>
            </w:r>
          </w:p>
          <w:p>
            <w:r>
              <w:t xml:space="preserve"> </w:t>
            </w:r>
          </w:p>
          <w:tbl>
            <w:tblPr>
              <w:tblStyle w:val="TableGrid"/>
              <w:tblW w:w="5000" w:type="pct"/>
              <w:tblLayout w:type="autofit"/>
            </w:tblPr>
            <w:tblGrid>
              <w:gridCol/>
            </w:tblGrid>
            <w:tr>
              <w:trPr/>
              <w:tc>
                <w:tcPr>
                  <w:tcW w:w="5000" w:type="pct"/>
                  <w:vAlign w:val="top"/>
                </w:tcPr>
                <w:p>
                  <w:r>
                    <w:t xml:space="preserve"> </w:t>
                  </w:r>
                </w:p>
              </w:tc>
            </w:tr>
          </w:tbl>
          <w:p>
            <w:r>
              <w:t xml:space="preserve"> </w:t>
            </w:r>
          </w:p>
          <w:p>
            <w:r>
              <w:t xml:space="preserve">Data are reported as aggregate seclusion events at the hospital level.</w:t>
            </w:r>
          </w:p>
          <w:p>
            <w:r>
              <w:t xml:space="preserve">Reported rates are derived from the included services combined total for number of seclusion events divided by their combined total for number of accrued mental health care days. This method provides an accurate indication of combined activity, ensuring that larger services are proportionally represented in the data. Previously, some reported rates were calculated from an average of the reported seclusion rates for each service, which may have utility for benchmarking purposes; however, anomalies from smaller services can disproportionately skew overall rates.</w:t>
            </w:r>
          </w:p>
          <w:p>
            <w:r>
              <w:t xml:space="preserve">Occasionally, jurisdictions re-supply data for seclusion events or number of occupied bed days. Data re-submissions are highlighted in subsequent data supplies, with updated figures reported in the next annual publication. For 2013–14, historical data were re-supplied for 2 hospitals resulting in minimal changes.</w:t>
            </w:r>
          </w:p>
          <w:p>
            <w:r>
              <w:t xml:space="preserve">Integrity of the supplied seclusion data is tested by AIHW via a series of ‘logical’ validation checks. Any missing or unusual data are clarified with the supplying jurisdiction.</w:t>
            </w:r>
          </w:p>
          <w:p>
            <w:r>
              <w:t xml:space="preserve">Some outliers (i.e. a small number of clients who have an above average number of seclusion events) are apparent in the data and have not been removed, this has the effect of ‘skewing’ the rates of seclusion for some jurisdictions.</w:t>
            </w:r>
          </w:p>
          <w:p>
            <w:r>
              <w:t xml:space="preserve">A new data element, average time in seclusion was collected for the first time for the 2013–14 collection period.  As the average time in seclusion is significantly higher for forensic units, these units were excluded from average time in seclusion calculations to provide a more realistic estimation of seclusion duration.</w:t>
            </w:r>
          </w:p>
          <w:p>
            <w: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b/>
              </w:rPr>
              <w:t xml:space="preserve">Victoria</w:t>
            </w:r>
          </w:p>
          <w:p>
            <w:pPr>
              <w:spacing w:after="160"/>
            </w:pPr>
            <w:r>
              <w:rPr>
                <w:rStyle w:val="row-content-rich-text"/>
              </w:rPr>
              <w:t xml:space="preserve">Both the National Beacon Projects and the Creating Safety Project supported Victorian services to review their use of seclusion and employ different strategies to support the reduction of seclusion, with targets set in the Statement of Priorities to support health services reduce seclusion events. From 2014-15 seclusion rates are included in the calculation of a Performance Assessment Score for each health service with a specialised mental health inpatient unit and ultimately the level of monitoring by the Department of Health. It is anticipated that variation between health services will improve over time following the increased emphasis on the target, introduction of a new Mental Health Act and a reduction in the use of restrictive practices.</w:t>
            </w:r>
          </w:p>
          <w:p>
            <w:pPr>
              <w:spacing w:after="160"/>
            </w:pPr>
            <w:r>
              <w:rPr>
                <w:rStyle w:val="row-content-rich-text"/>
              </w:rPr>
              <w:t xml:space="preserve">Victoria has fewer beds per capita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were 7.2 in 2011–12, 5.8 in 2012–13 and 5.5 in 2013–14.</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      </w:t>
            </w:r>
          </w:p>
          <w:p>
            <w:pPr>
              <w:spacing w:after="160"/>
            </w:pPr>
            <w:r>
              <w:rPr>
                <w:rStyle w:val="row-content-rich-text"/>
              </w:rPr>
              <w:t xml:space="preserve"> </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From 1 July 2014, the Chief Psychiatrist in WA has requested quarterly reporting of seclusion and restraint rates by all current reporting services.</w:t>
            </w:r>
          </w:p>
          <w:p>
            <w:pPr>
              <w:spacing w:after="160"/>
            </w:pPr>
            <w:r>
              <w:rPr>
                <w:rStyle w:val="row-content-rich-text"/>
              </w:rPr>
              <w:t xml:space="preserve">Western Australia reports occupied bed days rather than accrued mental health care days to the seclusion and restraint DSS. For the purpose of these analyses, occupied bed days are considered to be the same as accrued mental health care days for this jurisdiction.</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60 and 70 acute inpatient beds reported between 2008–09 and 2013–14.</w:t>
            </w:r>
          </w:p>
          <w:p>
            <w:pPr>
              <w:spacing w:after="160"/>
            </w:pPr>
            <w:r>
              <w:rPr>
                <w:rStyle w:val="row-content-rich-text"/>
              </w:rPr>
              <w:t xml:space="preserve">ACT was unable to provide the number of mental health-related admitted patient care episodes with a seclusion event in 2013–14. Therefore, the proportion of episodes with a seclusion event and the average number of seclusion events per episode could not be calculated for the ACT. </w:t>
            </w:r>
          </w:p>
          <w:p>
            <w:pPr>
              <w:spacing w:after="160"/>
            </w:pPr>
            <w:r>
              <w:rPr>
                <w:rStyle w:val="row-content-rich-text"/>
              </w:rPr>
              <w:t xml:space="preserve">ACT activities initiated as part of the Beacon Site project included the implementation of a clinical review committee inclusive of clinical staff, consumers and carer representation to review episodes of seclusion for systemic issues on a case-by-case basis. This has led to a number of reforms over several years that have had a direct impact on the use of seclusion and its reduction to the low levels now reported.</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Northern Territory is unable to segregate Forensic Inpatient Episodes and Events from general events. Therefore all Northern Territory totals, wherever stated, are comprised of both General &amp; Forensic Inpatient Episodes and Events.  As this may artificially inflate Northern Territory data, caution should be used when comparing or interpreting this data. </w:t>
            </w:r>
          </w:p>
          <w:p>
            <w:pPr>
              <w:spacing w:after="160"/>
            </w:pPr>
            <w:r>
              <w:rPr>
                <w:rStyle w:val="row-content-rich-text"/>
              </w:rPr>
              <w:t xml:space="preserve">Due to the low ratio of beds per person in the Northern Territory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the Northern Territory, high rates of seclusion for a few individuals have a disproportional effect on the rate of seclusion reported.</w:t>
            </w:r>
          </w:p>
          <w:p>
            <w:pPr>
              <w:spacing w:after="160"/>
            </w:pPr>
            <w:r>
              <w:rPr>
                <w:rStyle w:val="row-content-rich-text"/>
              </w:rPr>
              <w:t xml:space="preserve">Due to these variations, Northern Territory seclusion data is not directly comparable with other jurisdictions.</w:t>
            </w:r>
          </w:p>
          <w:p>
            <w:pPr>
              <w:spacing w:after="160"/>
            </w:pPr>
            <w:r>
              <w:rPr>
                <w:rStyle w:val="row-content-rich-text"/>
              </w:rPr>
              <w:t xml:space="preserve"> </w:t>
            </w:r>
          </w:p>
          <w:p>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ceaef7cec545a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d1c190749f42e9">
              <w:r>
                <w:rPr>
                  <w:rStyle w:val="Hyperlink"/>
                </w:rPr>
                <w:t xml:space="preserve">Key Performance Indicators for Australian Public Mental Health Services: PI 15-Rate of seclusion (acute inpatient units), 2014-15; Quality statement</w:t>
              </w:r>
            </w:hyperlink>
          </w:p>
          <w:p>
            <w:pPr>
              <w:pStyle w:val="registration-status"/>
              <w:spacing w:before="0" w:after="0"/>
            </w:pPr>
            <w:hyperlink w:history="true" r:id="R5fe7bed5b875468e">
              <w:r>
                <w:rPr>
                  <w:rStyle w:val="Hyperlink"/>
                  <w:color w:val="244061"/>
                </w:rPr>
                <w:t xml:space="preserve">AIHW Data Quality Statements</w:t>
              </w:r>
            </w:hyperlink>
            <w:r>
              <w:rPr>
                <w:rStyle w:val="row-content"/>
                <w:color w:val="244061"/>
              </w:rPr>
              <w:t xml:space="preserve">, Superseded 04/05/2017</w:t>
            </w:r>
          </w:p>
          <w:p>
            <w:r>
              <w:br/>
            </w:r>
          </w:p>
        </w:tc>
      </w:tr>
    </w:tbl>
    <w:p>
      <w:r>
        <w:br/>
      </w:r>
    </w:p>
    <w:sectPr>
      <w:footerReference xmlns:r="http://schemas.openxmlformats.org/officeDocument/2006/relationships" w:type="default" r:id="R0d344a40b0cf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7eea7965c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44a40b0cf4e27" /><Relationship Type="http://schemas.openxmlformats.org/officeDocument/2006/relationships/header" Target="/word/header1.xml" Id="R897eb6374aa74ca2" /><Relationship Type="http://schemas.openxmlformats.org/officeDocument/2006/relationships/settings" Target="/word/settings.xml" Id="R55aa584ec30d4eb3" /><Relationship Type="http://schemas.openxmlformats.org/officeDocument/2006/relationships/styles" Target="/word/styles.xml" Id="R466a0826f35e4ca2" /><Relationship Type="http://schemas.openxmlformats.org/officeDocument/2006/relationships/hyperlink" Target="https://meteor-uat.aihw.gov.au/RegistrationAuthority/8" TargetMode="External" Id="R3a587b9bd23540af" /><Relationship Type="http://schemas.openxmlformats.org/officeDocument/2006/relationships/hyperlink" Target="https://meteor-uat.aihw.gov.au/content/246013" TargetMode="External" Id="R9eceaef7cec545ac" /><Relationship Type="http://schemas.openxmlformats.org/officeDocument/2006/relationships/hyperlink" Target="https://meteor-uat.aihw.gov.au/content/624018" TargetMode="External" Id="R70d1c190749f42e9" /><Relationship Type="http://schemas.openxmlformats.org/officeDocument/2006/relationships/hyperlink" Target="https://meteor-uat.aihw.gov.au/RegistrationAuthority/8" TargetMode="External" Id="R5fe7bed5b875468e" /></Relationships>
</file>

<file path=word/_rels/header1.xml.rels>&#65279;<?xml version="1.0" encoding="utf-8"?><Relationships xmlns="http://schemas.openxmlformats.org/package/2006/relationships"><Relationship Type="http://schemas.openxmlformats.org/officeDocument/2006/relationships/image" Target="/media/image.png" Id="R1e97eea7965c4459" /></Relationships>
</file>