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d38034085b4736" /></Relationships>
</file>

<file path=word/document.xml><?xml version="1.0" encoding="utf-8"?>
<w:document xmlns:r="http://schemas.openxmlformats.org/officeDocument/2006/relationships" xmlns:w="http://schemas.openxmlformats.org/wordprocessingml/2006/main">
  <w:body>
    <w:p>
      <w:pPr>
        <w:pStyle w:val="Title"/>
      </w:pPr>
      <w:r>
        <w:t>First Surgical Service Event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Surgical Service Event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695459bc944d7">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Surgical Service Event National Best Endeavours Data Set (FSSE NBEDS) defines information about the first non-admitted patient service event for a surgical non-admitted patient service in a public hospital.</w:t>
            </w:r>
          </w:p>
          <w:p>
            <w:pPr>
              <w:spacing w:after="160"/>
            </w:pPr>
            <w:r>
              <w:rPr>
                <w:rStyle w:val="row-content-rich-text"/>
              </w:rPr>
              <w:t xml:space="preserve">The first non-admitted patient service event is the first interaction between a patient and a surgical specialist following a request for service.</w:t>
            </w:r>
          </w:p>
          <w:p>
            <w:pPr>
              <w:spacing w:after="160"/>
            </w:pPr>
            <w:r>
              <w:rPr>
                <w:rStyle w:val="row-content-rich-text"/>
              </w:rPr>
              <w:t xml:space="preserve">A request for service is generated by a referral to the non-admitted patient service. The source of the service request may be a health-care provider, such as a general practitioner or another specialist, or a hospital.</w:t>
            </w:r>
          </w:p>
          <w:p>
            <w:pPr>
              <w:spacing w:after="160"/>
            </w:pPr>
            <w:r>
              <w:rPr>
                <w:rStyle w:val="row-content-rich-text"/>
              </w:rPr>
              <w:t xml:space="preserve">Each referral from a health-care provider or hospital, will have one first non-admitted patient service event associated with it.</w:t>
            </w:r>
          </w:p>
          <w:p>
            <w:pPr>
              <w:spacing w:after="160"/>
            </w:pPr>
            <w:r>
              <w:rPr>
                <w:rStyle w:val="row-content-rich-text"/>
              </w:rPr>
              <w:t xml:space="preserve">The scope of the FSSE NBEDS includes non-admitted patient service events to non-admitted patients:</w:t>
            </w:r>
          </w:p>
          <w:p>
            <w:pPr>
              <w:pStyle w:val="ListParagraph"/>
              <w:numPr>
                <w:ilvl w:val="0"/>
                <w:numId w:val="2"/>
              </w:numPr>
            </w:pPr>
            <w:r>
              <w:rPr>
                <w:rStyle w:val="row-content-rich-text"/>
              </w:rPr>
              <w:t xml:space="preserve">Who have obtained a service request for a surgical specialist.</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A surgical non-admitted patient service is a specialty unit or organisational arrangement from which a hospital provides a patient’s surgical non-admitted service event following a request for service. A surgical non-admitted patient service event is inscope for this NBEDS where the non-admitted patient service type is one of the following Tier 2 Non-Admitted Services Classification codes:</w:t>
            </w:r>
          </w:p>
          <w:p>
            <w:pPr>
              <w:pStyle w:val="ListParagraph"/>
              <w:numPr>
                <w:ilvl w:val="0"/>
                <w:numId w:val="3"/>
              </w:numPr>
            </w:pPr>
            <w:r>
              <w:rPr>
                <w:rStyle w:val="row-content-rich-text"/>
              </w:rPr>
              <w:t xml:space="preserve">Breast (20.32)</w:t>
            </w:r>
          </w:p>
          <w:p>
            <w:pPr>
              <w:pStyle w:val="ListParagraph"/>
              <w:numPr>
                <w:ilvl w:val="0"/>
                <w:numId w:val="3"/>
              </w:numPr>
            </w:pPr>
            <w:r>
              <w:rPr>
                <w:rStyle w:val="row-content-rich-text"/>
              </w:rPr>
              <w:t xml:space="preserve">Cardiothoracic (20.23)</w:t>
            </w:r>
          </w:p>
          <w:p>
            <w:pPr>
              <w:pStyle w:val="ListParagraph"/>
              <w:numPr>
                <w:ilvl w:val="0"/>
                <w:numId w:val="3"/>
              </w:numPr>
            </w:pPr>
            <w:r>
              <w:rPr>
                <w:rStyle w:val="row-content-rich-text"/>
              </w:rPr>
              <w:t xml:space="preserve">Craniofacial (20.27)</w:t>
            </w:r>
          </w:p>
          <w:p>
            <w:pPr>
              <w:pStyle w:val="ListParagraph"/>
              <w:numPr>
                <w:ilvl w:val="0"/>
                <w:numId w:val="3"/>
              </w:numPr>
            </w:pPr>
            <w:r>
              <w:rPr>
                <w:rStyle w:val="row-content-rich-text"/>
              </w:rPr>
              <w:t xml:space="preserve">Ear, nose and throat (ENT) (20.18)</w:t>
            </w:r>
          </w:p>
          <w:p>
            <w:pPr>
              <w:pStyle w:val="ListParagraph"/>
              <w:numPr>
                <w:ilvl w:val="0"/>
                <w:numId w:val="3"/>
              </w:numPr>
            </w:pPr>
            <w:r>
              <w:rPr>
                <w:rStyle w:val="row-content-rich-text"/>
              </w:rPr>
              <w:t xml:space="preserve">General surgery (20.07)</w:t>
            </w:r>
          </w:p>
          <w:p>
            <w:pPr>
              <w:pStyle w:val="ListParagraph"/>
              <w:numPr>
                <w:ilvl w:val="0"/>
                <w:numId w:val="3"/>
              </w:numPr>
            </w:pPr>
            <w:r>
              <w:rPr>
                <w:rStyle w:val="row-content-rich-text"/>
              </w:rPr>
              <w:t xml:space="preserve">Gynaecology (20.38)</w:t>
            </w:r>
          </w:p>
          <w:p>
            <w:pPr>
              <w:pStyle w:val="ListParagraph"/>
              <w:numPr>
                <w:ilvl w:val="0"/>
                <w:numId w:val="3"/>
              </w:numPr>
            </w:pPr>
            <w:r>
              <w:rPr>
                <w:rStyle w:val="row-content-rich-text"/>
              </w:rPr>
              <w:t xml:space="preserve">Multidisciplinary burns clinic (20.48)</w:t>
            </w:r>
          </w:p>
          <w:p>
            <w:pPr>
              <w:pStyle w:val="ListParagraph"/>
              <w:numPr>
                <w:ilvl w:val="0"/>
                <w:numId w:val="3"/>
              </w:numPr>
            </w:pPr>
            <w:r>
              <w:rPr>
                <w:rStyle w:val="row-content-rich-text"/>
              </w:rPr>
              <w:t xml:space="preserve">Neurosurgery (20.16)</w:t>
            </w:r>
          </w:p>
          <w:p>
            <w:pPr>
              <w:pStyle w:val="ListParagraph"/>
              <w:numPr>
                <w:ilvl w:val="0"/>
                <w:numId w:val="3"/>
              </w:numPr>
            </w:pPr>
            <w:r>
              <w:rPr>
                <w:rStyle w:val="row-content-rich-text"/>
              </w:rPr>
              <w:t xml:space="preserve">Ophthalmology (20.17)</w:t>
            </w:r>
          </w:p>
          <w:p>
            <w:pPr>
              <w:pStyle w:val="ListParagraph"/>
              <w:numPr>
                <w:ilvl w:val="0"/>
                <w:numId w:val="3"/>
              </w:numPr>
            </w:pPr>
            <w:r>
              <w:rPr>
                <w:rStyle w:val="row-content-rich-text"/>
              </w:rPr>
              <w:t xml:space="preserve">Orthopaedics (20.29)</w:t>
            </w:r>
          </w:p>
          <w:p>
            <w:pPr>
              <w:pStyle w:val="ListParagraph"/>
              <w:numPr>
                <w:ilvl w:val="0"/>
                <w:numId w:val="3"/>
              </w:numPr>
            </w:pPr>
            <w:r>
              <w:rPr>
                <w:rStyle w:val="row-content-rich-text"/>
              </w:rPr>
              <w:t xml:space="preserve">Paediatric surgery (20.12)</w:t>
            </w:r>
          </w:p>
          <w:p>
            <w:pPr>
              <w:pStyle w:val="ListParagraph"/>
              <w:numPr>
                <w:ilvl w:val="0"/>
                <w:numId w:val="3"/>
              </w:numPr>
            </w:pPr>
            <w:r>
              <w:rPr>
                <w:rStyle w:val="row-content-rich-text"/>
              </w:rPr>
              <w:t xml:space="preserve">Plastic and reconstructive surgery (20.46)</w:t>
            </w:r>
          </w:p>
          <w:p>
            <w:pPr>
              <w:pStyle w:val="ListParagraph"/>
              <w:numPr>
                <w:ilvl w:val="0"/>
                <w:numId w:val="3"/>
              </w:numPr>
            </w:pPr>
            <w:r>
              <w:rPr>
                <w:rStyle w:val="row-content-rich-text"/>
              </w:rPr>
              <w:t xml:space="preserve">Spinal (20.31)</w:t>
            </w:r>
          </w:p>
          <w:p>
            <w:pPr>
              <w:pStyle w:val="ListParagraph"/>
              <w:numPr>
                <w:ilvl w:val="0"/>
                <w:numId w:val="3"/>
              </w:numPr>
            </w:pPr>
            <w:r>
              <w:rPr>
                <w:rStyle w:val="row-content-rich-text"/>
              </w:rPr>
              <w:t xml:space="preserve">Transplants (20.01)</w:t>
            </w:r>
          </w:p>
          <w:p>
            <w:pPr>
              <w:pStyle w:val="ListParagraph"/>
              <w:numPr>
                <w:ilvl w:val="0"/>
                <w:numId w:val="3"/>
              </w:numPr>
            </w:pPr>
            <w:r>
              <w:rPr>
                <w:rStyle w:val="row-content-rich-text"/>
              </w:rPr>
              <w:t xml:space="preserve">Urology (20.36)</w:t>
            </w:r>
          </w:p>
          <w:p>
            <w:pPr>
              <w:pStyle w:val="ListParagraph"/>
              <w:numPr>
                <w:ilvl w:val="0"/>
                <w:numId w:val="3"/>
              </w:numPr>
            </w:pPr>
            <w:r>
              <w:rPr>
                <w:rStyle w:val="row-content-rich-text"/>
              </w:rPr>
              <w:t xml:space="preserve">Vascular surgery (20.24)</w:t>
            </w:r>
          </w:p>
          <w:p>
            <w:pPr>
              <w:spacing w:after="160"/>
            </w:pPr>
            <w:r>
              <w:rPr>
                <w:rStyle w:val="row-content-rich-text"/>
              </w:rPr>
              <w:t xml:space="preserve">Excluded from the scope of the FSSE NBEDS are 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f3bc2fddfe244e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The FSSE NBEDS uses counting rules based on those of the Non-admitted patient NBEDS for the relevant reference year, but for first non-admitted patient service events only.</w:t>
            </w:r>
          </w:p>
          <w:p>
            <w:pPr>
              <w:spacing w:after="160"/>
            </w:pPr>
            <w:r>
              <w:rPr>
                <w:rStyle w:val="row-content-rich-text"/>
              </w:rPr>
              <w:t xml:space="preserve">Counting rules:</w:t>
            </w:r>
          </w:p>
          <w:p>
            <w:pPr>
              <w:pStyle w:val="ListParagraph"/>
              <w:numPr>
                <w:ilvl w:val="0"/>
                <w:numId w:val="5"/>
              </w:numPr>
            </w:pPr>
            <w:r>
              <w:rPr>
                <w:rStyle w:val="row-content-rich-text"/>
              </w:rPr>
              <w:t xml:space="preserve">All first non-admitted services that meet the criteria of a non-admitted patient service event should be counted, and be counted only once regardless of the number of health-care providers present.</w:t>
            </w:r>
          </w:p>
          <w:p>
            <w:pPr>
              <w:pStyle w:val="ListParagraph"/>
              <w:numPr>
                <w:ilvl w:val="0"/>
                <w:numId w:val="5"/>
              </w:numPr>
            </w:pPr>
            <w:r>
              <w:rPr>
                <w:rStyle w:val="row-content-rich-text"/>
              </w:rPr>
              <w:t xml:space="preserve">Patients can be counted as having multiple first non-admitted patient service events in one day, provided that every visit meets each of the criteria in the definition of a non-admitted patient service event.</w:t>
            </w:r>
          </w:p>
          <w:p>
            <w:pPr>
              <w:pStyle w:val="ListParagraph"/>
              <w:numPr>
                <w:ilvl w:val="0"/>
                <w:numId w:val="5"/>
              </w:numPr>
            </w:pPr>
            <w:r>
              <w:rPr>
                <w:rStyle w:val="row-content-rich-text"/>
              </w:rPr>
              <w:t xml:space="preserve">Patient education services can be counted as non-admitted patient service events, provided that they meet the criteria included in the definition of a non-admitted patient service event.</w:t>
            </w:r>
          </w:p>
          <w:p>
            <w:pPr>
              <w:pStyle w:val="ListParagraph"/>
              <w:numPr>
                <w:ilvl w:val="0"/>
                <w:numId w:val="5"/>
              </w:numPr>
            </w:pPr>
            <w:r>
              <w:rPr>
                <w:rStyle w:val="row-content-rich-text"/>
              </w:rPr>
              <w:t xml:space="preserve">Telephone and other telehealth consultations can be counted as service events if they substitute for a face to face consultation, provided that they meet all the criteria included in the definition of a non-admitted patient service event.</w:t>
            </w:r>
          </w:p>
          <w:p>
            <w:pPr>
              <w:pStyle w:val="ListParagraph"/>
              <w:numPr>
                <w:ilvl w:val="0"/>
                <w:numId w:val="5"/>
              </w:numPr>
            </w:pPr>
            <w:r>
              <w:rPr>
                <w:rStyle w:val="row-content-rich-text"/>
              </w:rPr>
              <w:t xml:space="preserve">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pStyle w:val="ListParagraph"/>
              <w:numPr>
                <w:ilvl w:val="0"/>
                <w:numId w:val="5"/>
              </w:numPr>
            </w:pPr>
            <w:r>
              <w:rPr>
                <w:rStyle w:val="row-content-rich-text"/>
              </w:rPr>
              <w:t xml:space="preserve">Travel by a health professional is not counted as a non-admitted patient service event.</w:t>
            </w:r>
          </w:p>
          <w:p>
            <w:pPr>
              <w:pStyle w:val="ListParagraph"/>
              <w:numPr>
                <w:ilvl w:val="0"/>
                <w:numId w:val="5"/>
              </w:numPr>
            </w:pPr>
            <w:r>
              <w:rPr>
                <w:rStyle w:val="row-content-rich-text"/>
              </w:rPr>
              <w:t xml:space="preserve">All non-admitted services that meet the criteria in the definition of non-admitted patient service events must be counted, irrespective of funding source (including Medicare Benefits Schedule) for the non-admitted service.</w:t>
            </w:r>
          </w:p>
          <w:p>
            <w:pPr>
              <w:pStyle w:val="ListParagraph"/>
              <w:numPr>
                <w:ilvl w:val="0"/>
                <w:numId w:val="5"/>
              </w:numPr>
            </w:pPr>
            <w:r>
              <w:rPr>
                <w:rStyle w:val="row-content-rich-text"/>
              </w:rPr>
              <w:t xml:space="preserve">For activity based funding purposes, diagnostic services are not counted as non-admitted patient service events; these are an integral part of the requesting clinic's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e0d1341a0e4a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 Manual 2016-17 (version 4.1). Independent Hospital Pricing Authority, Sydney. Viewed 3 January 2018. </w:t>
            </w:r>
            <w:hyperlink w:history="true" r:id="Rc82d678f62e1405f">
              <w:r>
                <w:rPr>
                  <w:rStyle w:val="Hyperlink"/>
                </w:rPr>
                <w:t xml:space="preserve">https://www.ihpa.gov.au/sites/g/files/net636/f/publications/</w:t>
              </w:r>
              <w:r>
                <w:br/>
              </w:r>
              <w:r>
                <w:rPr>
                  <w:rStyle w:val="row-content-rich-text"/>
                </w:rPr>
                <w:t xml:space="preserve">tier_2_non-admitted_services_definitions_manual_2016-17.pdf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363f8910f34288">
              <w:r>
                <w:rPr>
                  <w:rStyle w:val="Hyperlink"/>
                </w:rPr>
                <w:t xml:space="preserve">Non-admitted patient NBEDS 2017-18</w:t>
              </w:r>
            </w:hyperlink>
          </w:p>
          <w:p>
            <w:pPr>
              <w:pStyle w:val="registration-status"/>
              <w:spacing w:before="0" w:after="0"/>
            </w:pPr>
            <w:hyperlink w:history="true" r:id="R615d5e239ae54353">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7c6b577caf9434a">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a80ec63b99d432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5d35c27c57419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9eac0f6bb941a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db9689f2aa34dbb">
                    <w:r>
                      <w:rPr>
                        <w:rStyle w:val="Hyperlink"/>
                      </w:rPr>
                      <w:t xml:space="preserve">Non-admitted patient service request—service request issue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6133d9133db4b7d">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1b7f9257e0c4caf">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71a0503f9164a70">
                    <w:r>
                      <w:rPr>
                        <w:rStyle w:val="Hyperlink"/>
                      </w:rPr>
                      <w:t xml:space="preserve">Non-admitted patient service event—non-admitted service type, code (Tier 2 v4.1) NN.NN</w:t>
                    </w:r>
                  </w:hyperlink>
                </w:p>
                <w:p>
                  <w:r>
                    <w:rPr>
                      <w:b/>
                      <w:i/>
                      <w:color w:val="333333"/>
                    </w:rPr>
                    <w:t xml:space="preserve">DSS specific information:</w:t>
                  </w:r>
                </w:p>
                <w:p>
                  <w:r>
                    <w:t xml:space="preserve">A surgical non-admitted patient service is a specialty unit or organisational arrangement from which a hospital provides a patient’s surgical non-admitted service event following a request for service. A surgical non-admitted patient service event is inscope for this NBEDS where the non-admitted patient service type is one of the following Tier 2 Non-Admitted Services Classification codes:</w:t>
                  </w:r>
                </w:p>
                <w:p>
                  <w:pPr>
                    <w:pStyle w:val="ListParagraph"/>
                    <w:numPr>
                      <w:ilvl w:val="0"/>
                      <w:numId w:val="6"/>
                    </w:numPr>
                  </w:pPr>
                  <w:r>
                    <w:t xml:space="preserve">Breast (20.32)</w:t>
                  </w:r>
                </w:p>
                <w:p>
                  <w:pPr>
                    <w:pStyle w:val="ListParagraph"/>
                    <w:numPr>
                      <w:ilvl w:val="0"/>
                      <w:numId w:val="6"/>
                    </w:numPr>
                  </w:pPr>
                  <w:r>
                    <w:t xml:space="preserve">Cardiothoracic (20.23)</w:t>
                  </w:r>
                </w:p>
                <w:p>
                  <w:pPr>
                    <w:pStyle w:val="ListParagraph"/>
                    <w:numPr>
                      <w:ilvl w:val="0"/>
                      <w:numId w:val="6"/>
                    </w:numPr>
                  </w:pPr>
                  <w:r>
                    <w:t xml:space="preserve">Craniofacial (20.27)</w:t>
                  </w:r>
                </w:p>
                <w:p>
                  <w:pPr>
                    <w:pStyle w:val="ListParagraph"/>
                    <w:numPr>
                      <w:ilvl w:val="0"/>
                      <w:numId w:val="6"/>
                    </w:numPr>
                  </w:pPr>
                  <w:r>
                    <w:t xml:space="preserve">Ear, nose and throat (ENT) (20.18)</w:t>
                  </w:r>
                </w:p>
                <w:p>
                  <w:pPr>
                    <w:pStyle w:val="ListParagraph"/>
                    <w:numPr>
                      <w:ilvl w:val="0"/>
                      <w:numId w:val="6"/>
                    </w:numPr>
                  </w:pPr>
                  <w:r>
                    <w:t xml:space="preserve">General surgery (20.07)</w:t>
                  </w:r>
                </w:p>
                <w:p>
                  <w:pPr>
                    <w:pStyle w:val="ListParagraph"/>
                    <w:numPr>
                      <w:ilvl w:val="0"/>
                      <w:numId w:val="6"/>
                    </w:numPr>
                  </w:pPr>
                  <w:r>
                    <w:t xml:space="preserve">Gynaecology (20.38)</w:t>
                  </w:r>
                </w:p>
                <w:p>
                  <w:pPr>
                    <w:pStyle w:val="ListParagraph"/>
                    <w:numPr>
                      <w:ilvl w:val="0"/>
                      <w:numId w:val="6"/>
                    </w:numPr>
                  </w:pPr>
                  <w:r>
                    <w:t xml:space="preserve">Multidisciplinary burns clinic (20.48)</w:t>
                  </w:r>
                </w:p>
                <w:p>
                  <w:pPr>
                    <w:pStyle w:val="ListParagraph"/>
                    <w:numPr>
                      <w:ilvl w:val="0"/>
                      <w:numId w:val="6"/>
                    </w:numPr>
                  </w:pPr>
                  <w:r>
                    <w:t xml:space="preserve">Neurosurgery (20.16)</w:t>
                  </w:r>
                </w:p>
                <w:p>
                  <w:pPr>
                    <w:pStyle w:val="ListParagraph"/>
                    <w:numPr>
                      <w:ilvl w:val="0"/>
                      <w:numId w:val="6"/>
                    </w:numPr>
                  </w:pPr>
                  <w:r>
                    <w:t xml:space="preserve">Ophthalmology (20.17)</w:t>
                  </w:r>
                </w:p>
                <w:p>
                  <w:pPr>
                    <w:pStyle w:val="ListParagraph"/>
                    <w:numPr>
                      <w:ilvl w:val="0"/>
                      <w:numId w:val="6"/>
                    </w:numPr>
                  </w:pPr>
                  <w:r>
                    <w:t xml:space="preserve">Orthopaedics (20.29)</w:t>
                  </w:r>
                </w:p>
                <w:p>
                  <w:pPr>
                    <w:pStyle w:val="ListParagraph"/>
                    <w:numPr>
                      <w:ilvl w:val="0"/>
                      <w:numId w:val="6"/>
                    </w:numPr>
                  </w:pPr>
                  <w:r>
                    <w:t xml:space="preserve">Paediatric surgery (20.12)</w:t>
                  </w:r>
                </w:p>
                <w:p>
                  <w:pPr>
                    <w:pStyle w:val="ListParagraph"/>
                    <w:numPr>
                      <w:ilvl w:val="0"/>
                      <w:numId w:val="6"/>
                    </w:numPr>
                  </w:pPr>
                  <w:r>
                    <w:t xml:space="preserve">Plastic and reconstructive surgery (20.46)</w:t>
                  </w:r>
                </w:p>
                <w:p>
                  <w:pPr>
                    <w:pStyle w:val="ListParagraph"/>
                    <w:numPr>
                      <w:ilvl w:val="0"/>
                      <w:numId w:val="6"/>
                    </w:numPr>
                  </w:pPr>
                  <w:r>
                    <w:t xml:space="preserve">Spinal (20.31)</w:t>
                  </w:r>
                </w:p>
                <w:p>
                  <w:pPr>
                    <w:pStyle w:val="ListParagraph"/>
                    <w:numPr>
                      <w:ilvl w:val="0"/>
                      <w:numId w:val="6"/>
                    </w:numPr>
                  </w:pPr>
                  <w:r>
                    <w:t xml:space="preserve">Transplants (20.01)</w:t>
                  </w:r>
                </w:p>
                <w:p>
                  <w:pPr>
                    <w:pStyle w:val="ListParagraph"/>
                    <w:numPr>
                      <w:ilvl w:val="0"/>
                      <w:numId w:val="6"/>
                    </w:numPr>
                  </w:pPr>
                  <w:r>
                    <w:t xml:space="preserve">Urology (20.36)</w:t>
                  </w:r>
                </w:p>
                <w:p>
                  <w:pPr>
                    <w:pStyle w:val="ListParagraph"/>
                    <w:numPr>
                      <w:ilvl w:val="0"/>
                      <w:numId w:val="6"/>
                    </w:numPr>
                  </w:pPr>
                  <w:r>
                    <w:t xml:space="preserve">Vascular surgery (20.24)</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2b33491f1964b32">
                    <w:r>
                      <w:rPr>
                        <w:rStyle w:val="Hyperlink"/>
                      </w:rPr>
                      <w:t xml:space="preserve">Non-admitted patient service request—service request acceptance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fc4b5ad70b54c3f">
                    <w:r>
                      <w:rPr>
                        <w:rStyle w:val="Hyperlink"/>
                      </w:rPr>
                      <w:t xml:space="preserve">Non-admitted patient service event—service event date first offered,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e2fbb0fa4f847a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5dce25339ee4863">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9efc75ebd8d4846">
                    <w:r>
                      <w:rPr>
                        <w:rStyle w:val="Hyperlink"/>
                      </w:rPr>
                      <w:t xml:space="preserve">Non-admitted patient service request—urgency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cdad6ba1c1143a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4797b02f4e44f0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3c0b1f2f00e452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dea7173bd7c429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3b742143cd741e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17b51bdf43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1464f25b2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7b51bdf4342d2" /><Relationship Type="http://schemas.openxmlformats.org/officeDocument/2006/relationships/header" Target="/word/header1.xml" Id="R750a304809c14770" /><Relationship Type="http://schemas.openxmlformats.org/officeDocument/2006/relationships/settings" Target="/word/settings.xml" Id="Rd39ba9196e574866" /><Relationship Type="http://schemas.openxmlformats.org/officeDocument/2006/relationships/styles" Target="/word/styles.xml" Id="R277496e9d1df478e" /><Relationship Type="http://schemas.openxmlformats.org/officeDocument/2006/relationships/numbering" Target="/word/numbering.xml" Id="R03e5381f4a9840f0" /><Relationship Type="http://schemas.openxmlformats.org/officeDocument/2006/relationships/hyperlink" Target="https://meteor-uat.aihw.gov.au/RegistrationAuthority/14" TargetMode="External" Id="Rae7695459bc944d7" /><Relationship Type="http://schemas.openxmlformats.org/officeDocument/2006/relationships/hyperlink" Target="https://meteor-uat.aihw.gov.au/content/652089" TargetMode="External" Id="R8f3bc2fddfe244ea" /><Relationship Type="http://schemas.openxmlformats.org/officeDocument/2006/relationships/hyperlink" Target="https://meteor-uat.aihw.gov.au/content/246013" TargetMode="External" Id="R41e0d1341a0e4a2a" /><Relationship Type="http://schemas.openxmlformats.org/officeDocument/2006/relationships/hyperlink" Target="https://www.ihpa.gov.au/sites/g/files/net636/f/publications/tier_2_non-admitted_services_definitions_manual_2016-17.pdf" TargetMode="External" Id="Rc82d678f62e1405f" /><Relationship Type="http://schemas.openxmlformats.org/officeDocument/2006/relationships/hyperlink" Target="https://meteor-uat.aihw.gov.au/content/650086" TargetMode="External" Id="R06363f8910f34288" /><Relationship Type="http://schemas.openxmlformats.org/officeDocument/2006/relationships/hyperlink" Target="https://meteor-uat.aihw.gov.au/RegistrationAuthority/14" TargetMode="External" Id="R615d5e239ae54353" /><Relationship Type="http://schemas.openxmlformats.org/officeDocument/2006/relationships/hyperlink" Target="https://meteor-uat.aihw.gov.au/content/555463" TargetMode="External" Id="R07c6b577caf9434a" /><Relationship Type="http://schemas.openxmlformats.org/officeDocument/2006/relationships/hyperlink" Target="https://meteor-uat.aihw.gov.au/content/290046" TargetMode="External" Id="Rfa80ec63b99d4325" /><Relationship Type="http://schemas.openxmlformats.org/officeDocument/2006/relationships/hyperlink" Target="https://meteor-uat.aihw.gov.au/content/269973" TargetMode="External" Id="Ra75d35c27c574195" /><Relationship Type="http://schemas.openxmlformats.org/officeDocument/2006/relationships/hyperlink" Target="https://meteor-uat.aihw.gov.au/content/584333" TargetMode="External" Id="R3c9eac0f6bb941a4" /><Relationship Type="http://schemas.openxmlformats.org/officeDocument/2006/relationships/hyperlink" Target="https://meteor-uat.aihw.gov.au/content/596448" TargetMode="External" Id="Redb9689f2aa34dbb" /><Relationship Type="http://schemas.openxmlformats.org/officeDocument/2006/relationships/hyperlink" Target="https://meteor-uat.aihw.gov.au/content/400713" TargetMode="External" Id="Rb6133d9133db4b7d" /><Relationship Type="http://schemas.openxmlformats.org/officeDocument/2006/relationships/hyperlink" Target="https://meteor-uat.aihw.gov.au/content/400747" TargetMode="External" Id="R91b7f9257e0c4caf" /><Relationship Type="http://schemas.openxmlformats.org/officeDocument/2006/relationships/hyperlink" Target="https://meteor-uat.aihw.gov.au/content/614374" TargetMode="External" Id="R071a0503f9164a70" /><Relationship Type="http://schemas.openxmlformats.org/officeDocument/2006/relationships/hyperlink" Target="https://meteor-uat.aihw.gov.au/content/596488" TargetMode="External" Id="R62b33491f1964b32" /><Relationship Type="http://schemas.openxmlformats.org/officeDocument/2006/relationships/hyperlink" Target="https://meteor-uat.aihw.gov.au/content/596502" TargetMode="External" Id="R4fc4b5ad70b54c3f" /><Relationship Type="http://schemas.openxmlformats.org/officeDocument/2006/relationships/hyperlink" Target="https://meteor-uat.aihw.gov.au/content/584093" TargetMode="External" Id="R3e2fbb0fa4f847a0" /><Relationship Type="http://schemas.openxmlformats.org/officeDocument/2006/relationships/hyperlink" Target="https://meteor-uat.aihw.gov.au/content/596610" TargetMode="External" Id="R85dce25339ee4863" /><Relationship Type="http://schemas.openxmlformats.org/officeDocument/2006/relationships/hyperlink" Target="https://meteor-uat.aihw.gov.au/content/596643" TargetMode="External" Id="R89efc75ebd8d4846" /><Relationship Type="http://schemas.openxmlformats.org/officeDocument/2006/relationships/hyperlink" Target="https://meteor-uat.aihw.gov.au/content/287316" TargetMode="External" Id="Rccdad6ba1c1143a8" /><Relationship Type="http://schemas.openxmlformats.org/officeDocument/2006/relationships/hyperlink" Target="https://meteor-uat.aihw.gov.au/content/287007" TargetMode="External" Id="Rf4797b02f4e44f08" /><Relationship Type="http://schemas.openxmlformats.org/officeDocument/2006/relationships/hyperlink" Target="https://meteor-uat.aihw.gov.au/content/469909" TargetMode="External" Id="R73c0b1f2f00e4526" /><Relationship Type="http://schemas.openxmlformats.org/officeDocument/2006/relationships/hyperlink" Target="https://meteor-uat.aihw.gov.au/content/459973" TargetMode="External" Id="Rbdea7173bd7c429d" /><Relationship Type="http://schemas.openxmlformats.org/officeDocument/2006/relationships/hyperlink" Target="https://meteor-uat.aihw.gov.au/content/602543" TargetMode="External" Id="R83b742143cd741ee" /></Relationships>
</file>

<file path=word/_rels/header1.xml.rels>&#65279;<?xml version="1.0" encoding="utf-8"?><Relationships xmlns="http://schemas.openxmlformats.org/package/2006/relationships"><Relationship Type="http://schemas.openxmlformats.org/officeDocument/2006/relationships/image" Target="/media/image.png" Id="Ra0b1464f25b24e3b" /></Relationships>
</file>