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aef118c0c646a8"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(SOMIH) DSS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(SOMIH) DSS 2013-14</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b5f75f3cf378432a">
                    <w:r>
                      <w:rPr>
                        <w:rStyle w:val="Hyperlink"/>
                      </w:rPr>
                      <w:t xml:space="preserve">Dwelling (housing assistance) cluster</w:t>
                    </w:r>
                  </w:hyperlink>
                </w:p>
              </w:tc>
              <w:tc>
                <w:tcPr>
                  <w:vAlign w:val="top"/>
                </w:tcPr>
                <w:p>
                  <w:r>
                    <w:t xml:space="preserve">605246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19ffba52b1744cf7">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a276345dd59141dd">
                    <w:r>
                      <w:rPr>
                        <w:rStyle w:val="Hyperlink"/>
                      </w:rPr>
                      <w:t xml:space="preserve">Dwelling Australian state/territory identifier</w:t>
                    </w:r>
                  </w:hyperlink>
                </w:p>
              </w:tc>
              <w:tc>
                <w:tcPr>
                  <w:vAlign w:val="top"/>
                </w:tcPr>
                <w:p>
                  <w:r>
                    <w:t xml:space="preserve">669387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f09794cbd464bef">
                    <w:r>
                      <w:rPr>
                        <w:rStyle w:val="Hyperlink"/>
                      </w:rPr>
                      <w:t xml:space="preserve">Dwelling occupancy indicator</w:t>
                    </w:r>
                  </w:hyperlink>
                </w:p>
              </w:tc>
              <w:tc>
                <w:tcPr>
                  <w:vAlign w:val="top"/>
                </w:tcPr>
                <w:p>
                  <w:r>
                    <w:t xml:space="preserve">607865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e1a4438502449ac">
                    <w:r>
                      <w:rPr>
                        <w:rStyle w:val="Hyperlink"/>
                      </w:rPr>
                      <w:t xml:space="preserve">Housing program type (public housing/SOMIH)</w:t>
                    </w:r>
                  </w:hyperlink>
                </w:p>
              </w:tc>
              <w:tc>
                <w:tcPr>
                  <w:vAlign w:val="top"/>
                </w:tcPr>
                <w:p>
                  <w:r>
                    <w:t xml:space="preserve">662978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c2188ecd1c446d5">
                    <w:r>
                      <w:rPr>
                        <w:rStyle w:val="Hyperlink"/>
                      </w:rPr>
                      <w:t xml:space="preserve">Dwelling redevelopment indicator</w:t>
                    </w:r>
                  </w:hyperlink>
                </w:p>
              </w:tc>
              <w:tc>
                <w:tcPr>
                  <w:vAlign w:val="top"/>
                </w:tcPr>
                <w:p>
                  <w:r>
                    <w:t xml:space="preserve">662994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9168a07b4d1463e">
                    <w:r>
                      <w:rPr>
                        <w:rStyle w:val="Hyperlink"/>
                      </w:rPr>
                      <w:t xml:space="preserve">Number of bedrooms</w:t>
                    </w:r>
                  </w:hyperlink>
                </w:p>
              </w:tc>
              <w:tc>
                <w:tcPr>
                  <w:vAlign w:val="top"/>
                </w:tcPr>
                <w:p>
                  <w:r>
                    <w:t xml:space="preserve">608497</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5d6e6b3fbe8479c">
                    <w:r>
                      <w:rPr>
                        <w:rStyle w:val="Hyperlink"/>
                      </w:rPr>
                      <w:t xml:space="preserve">Dwelling structure</w:t>
                    </w:r>
                  </w:hyperlink>
                </w:p>
              </w:tc>
              <w:tc>
                <w:tcPr>
                  <w:vAlign w:val="top"/>
                </w:tcPr>
                <w:p>
                  <w:r>
                    <w:t xml:space="preserve">663006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Separate house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Semi-detached, row or terrace house, townhouse, etc.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Flat, unit or apartment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Caravan, tent, cabin etc. in caravan park, houseboat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Caravan not in caravan park, houseboat not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Improvised home, tent, campers out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House or flat attached to a shop, office, etc.</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Boarding/rooming house unit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9bb0efb074249f7">
                    <w:r>
                      <w:rPr>
                        <w:rStyle w:val="Hyperlink"/>
                      </w:rPr>
                      <w:t xml:space="preserve">Dwelling tenantability indicator</w:t>
                    </w:r>
                  </w:hyperlink>
                </w:p>
              </w:tc>
              <w:tc>
                <w:tcPr>
                  <w:vAlign w:val="top"/>
                </w:tcPr>
                <w:p>
                  <w:r>
                    <w:t xml:space="preserve">663114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40e2801d6a74e64">
                    <w:r>
                      <w:rPr>
                        <w:rStyle w:val="Hyperlink"/>
                      </w:rPr>
                      <w:t xml:space="preserve">Market rent weekly value</w:t>
                    </w:r>
                  </w:hyperlink>
                </w:p>
              </w:tc>
              <w:tc>
                <w:tcPr>
                  <w:vAlign w:val="top"/>
                </w:tcPr>
                <w:p>
                  <w:r>
                    <w:t xml:space="preserve">663147</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fc61ef7ba95847f1">
                    <w:r>
                      <w:rPr>
                        <w:rStyle w:val="Hyperlink"/>
                      </w:rPr>
                      <w:t xml:space="preserve">Dwelling identifier</w:t>
                    </w:r>
                  </w:hyperlink>
                </w:p>
              </w:tc>
              <w:tc>
                <w:tcPr>
                  <w:vAlign w:val="top"/>
                </w:tcPr>
                <w:p>
                  <w:r>
                    <w:t xml:space="preserve">662949</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2</w:t>
                  </w:r>
                </w:p>
              </w:tc>
              <w:tc>
                <w:tcPr>
                  <w:tcMar/>
                  <w:vAlign w:val="top"/>
                </w:tcPr>
                <w:p>
                  <w:hyperlink w:history="true" r:id="R33ecd2bc647049f6">
                    <w:r>
                      <w:rPr>
                        <w:rStyle w:val="Hyperlink"/>
                      </w:rPr>
                      <w:t xml:space="preserve">Dwelling history (housing assistance) cluster</w:t>
                    </w:r>
                  </w:hyperlink>
                </w:p>
              </w:tc>
              <w:tc>
                <w:tcPr>
                  <w:vAlign w:val="top"/>
                </w:tcPr>
                <w:p>
                  <w:r>
                    <w:t xml:space="preserve">605278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ea37d65d50e649dc">
                    <w:r>
                      <w:rPr>
                        <w:rStyle w:val="Hyperlink"/>
                      </w:rPr>
                      <w:t xml:space="preserve">Dwelling Australian state/territory identifier</w:t>
                    </w:r>
                  </w:hyperlink>
                </w:p>
              </w:tc>
              <w:tc>
                <w:tcPr>
                  <w:vAlign w:val="top"/>
                </w:tcPr>
                <w:p>
                  <w:r>
                    <w:t xml:space="preserve">669387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1cdb06e7e6044a0">
                    <w:r>
                      <w:rPr>
                        <w:rStyle w:val="Hyperlink"/>
                      </w:rPr>
                      <w:t xml:space="preserve">Housing program type (public housing/SOMIH)</w:t>
                    </w:r>
                  </w:hyperlink>
                </w:p>
              </w:tc>
              <w:tc>
                <w:tcPr>
                  <w:vAlign w:val="top"/>
                </w:tcPr>
                <w:p>
                  <w:r>
                    <w:t xml:space="preserve">662978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a16db6e8e374790">
                    <w:r>
                      <w:rPr>
                        <w:rStyle w:val="Hyperlink"/>
                      </w:rPr>
                      <w:t xml:space="preserve">Vacant days</w:t>
                    </w:r>
                  </w:hyperlink>
                </w:p>
              </w:tc>
              <w:tc>
                <w:tcPr>
                  <w:vAlign w:val="top"/>
                </w:tcPr>
                <w:p>
                  <w:r>
                    <w:t xml:space="preserve">608070</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9dcb3f2692374f09">
                    <w:r>
                      <w:rPr>
                        <w:rStyle w:val="Hyperlink"/>
                      </w:rPr>
                      <w:t xml:space="preserve">Vacancy end date</w:t>
                    </w:r>
                  </w:hyperlink>
                </w:p>
              </w:tc>
              <w:tc>
                <w:tcPr>
                  <w:vAlign w:val="top"/>
                </w:tcPr>
                <w:p>
                  <w:r>
                    <w:t xml:space="preserve">607868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972cf5e8087b431e">
                    <w:r>
                      <w:rPr>
                        <w:rStyle w:val="Hyperlink"/>
                      </w:rPr>
                      <w:t xml:space="preserve">Vacancy reason</w:t>
                    </w:r>
                  </w:hyperlink>
                </w:p>
              </w:tc>
              <w:tc>
                <w:tcPr>
                  <w:vAlign w:val="top"/>
                </w:tcPr>
                <w:p>
                  <w:r>
                    <w:t xml:space="preserve">663135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Dwellings that are available to rent through normal processes (including dwellings that are undergoing normal maintenance)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Dwellings that are newly constructed, or purchased from when the certificate of occupancy was completed, or the keys were received</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Dwellings that have undergone major redevelopment work from when the certificate of occupancy was completed or the keys were received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Dwellings that are considered hard-to-let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Dwellings that are vacant because of other or unknown reasons</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Dwellings newly constructed, or purchased prior to the issue of the certificate of occupancy, or the receipt of keys</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Dwellings undergoing major redevelopment work prior to the certificate of occupancy being completed, or the keys being received (e.g. the time during which redevelopment work occurred)</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Dwellings that are offline or not available to rent through normal processes due to dwelling condition (e.g. uninhabitable condition and still waiting for repair)</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Dwellings that are offline or not available to rent through normal processes due to dwelling management (e.g. hold for sale, transfer or other management purpose)</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Dwellings for which there is no suitable applicant</w:t>
                        </w:r>
                      </w:p>
                    </w:tc>
                  </w:tr>
                  <w:tr>
                    <w:trPr/>
                    <w:tc>
                      <w:tcPr>
                        <w:tcW w:w="1000" w:type="pct"/>
                        <w:tcBorders>
                          <w:top w:val="none" w:color="000000" w:sz="0"/>
                          <w:left w:val="none" w:color="000000" w:sz="0"/>
                          <w:bottom w:val="none" w:color="000000" w:sz="0"/>
                          <w:right w:val="none" w:color="000000" w:sz="0"/>
                        </w:tcBorders>
                        <w:tcMar/>
                        <w:vAlign w:val="top"/>
                      </w:tcPr>
                      <w:p>
                        <w:r>
                          <w:t xml:space="preserve">2.6 </w:t>
                        </w:r>
                      </w:p>
                    </w:tc>
                    <w:tc>
                      <w:tcPr>
                        <w:tcBorders>
                          <w:top w:val="none" w:color="000000" w:sz="0"/>
                          <w:left w:val="none" w:color="000000" w:sz="0"/>
                          <w:bottom w:val="none" w:color="000000" w:sz="0"/>
                          <w:right w:val="none" w:color="000000" w:sz="0"/>
                        </w:tcBorders>
                        <w:tcMar/>
                        <w:vAlign w:val="top"/>
                      </w:tcPr>
                      <w:p>
                        <w:r>
                          <w:t xml:space="preserve">Dwellings that are excluded because of other or unknown reasons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8344c1a45e74a8f">
                    <w:r>
                      <w:rPr>
                        <w:rStyle w:val="Hyperlink"/>
                      </w:rPr>
                      <w:t xml:space="preserve">Vacancy start date</w:t>
                    </w:r>
                  </w:hyperlink>
                </w:p>
              </w:tc>
              <w:tc>
                <w:tcPr>
                  <w:vAlign w:val="top"/>
                </w:tcPr>
                <w:p>
                  <w:r>
                    <w:t xml:space="preserve">607870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43ef30e951134086">
                    <w:r>
                      <w:rPr>
                        <w:rStyle w:val="Hyperlink"/>
                      </w:rPr>
                      <w:t xml:space="preserve">Dwelling identifier</w:t>
                    </w:r>
                  </w:hyperlink>
                </w:p>
              </w:tc>
              <w:tc>
                <w:tcPr>
                  <w:vAlign w:val="top"/>
                </w:tcPr>
                <w:p>
                  <w:r>
                    <w:t xml:space="preserve">662949</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3</w:t>
                  </w:r>
                </w:p>
              </w:tc>
              <w:tc>
                <w:tcPr>
                  <w:tcMar/>
                  <w:vAlign w:val="top"/>
                </w:tcPr>
                <w:p>
                  <w:hyperlink w:history="true" r:id="Rfc4093ac62d0475c">
                    <w:r>
                      <w:rPr>
                        <w:rStyle w:val="Hyperlink"/>
                      </w:rPr>
                      <w:t xml:space="preserve">Household (housing assistance) cluster</w:t>
                    </w:r>
                  </w:hyperlink>
                </w:p>
              </w:tc>
              <w:tc>
                <w:tcPr>
                  <w:vAlign w:val="top"/>
                </w:tcPr>
                <w:p>
                  <w:r>
                    <w:t xml:space="preserve">605255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e9cc19f6c7ea43c7">
                    <w:r>
                      <w:rPr>
                        <w:rStyle w:val="Hyperlink"/>
                      </w:rPr>
                      <w:t xml:space="preserve">Housing program type (public housing/SOMIH)</w:t>
                    </w:r>
                  </w:hyperlink>
                </w:p>
              </w:tc>
              <w:tc>
                <w:tcPr>
                  <w:vAlign w:val="top"/>
                </w:tcPr>
                <w:p>
                  <w:r>
                    <w:t xml:space="preserve">662978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233a6b606ce420c">
                    <w:r>
                      <w:rPr>
                        <w:rStyle w:val="Hyperlink"/>
                      </w:rPr>
                      <w:t xml:space="preserve">Number of occupants</w:t>
                    </w:r>
                  </w:hyperlink>
                </w:p>
              </w:tc>
              <w:tc>
                <w:tcPr>
                  <w:vAlign w:val="top"/>
                </w:tcPr>
                <w:p>
                  <w:r>
                    <w:t xml:space="preserve">663054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a9f417357b547f5">
                    <w:r>
                      <w:rPr>
                        <w:rStyle w:val="Hyperlink"/>
                      </w:rPr>
                      <w:t xml:space="preserve">Market rent weekly value</w:t>
                    </w:r>
                  </w:hyperlink>
                </w:p>
              </w:tc>
              <w:tc>
                <w:tcPr>
                  <w:vAlign w:val="top"/>
                </w:tcPr>
                <w:p>
                  <w:r>
                    <w:t xml:space="preserve">663147</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a7de66e1f2f44ae2">
                    <w:r>
                      <w:rPr>
                        <w:rStyle w:val="Hyperlink"/>
                      </w:rPr>
                      <w:t xml:space="preserve">Application date (household)</w:t>
                    </w:r>
                  </w:hyperlink>
                </w:p>
              </w:tc>
              <w:tc>
                <w:tcPr>
                  <w:vAlign w:val="top"/>
                </w:tcPr>
                <w:p>
                  <w:r>
                    <w:t xml:space="preserve">607872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cf711c310e004458">
                    <w:r>
                      <w:rPr>
                        <w:rStyle w:val="Hyperlink"/>
                      </w:rPr>
                      <w:t xml:space="preserve">Assessable weekly income</w:t>
                    </w:r>
                  </w:hyperlink>
                </w:p>
              </w:tc>
              <w:tc>
                <w:tcPr>
                  <w:vAlign w:val="top"/>
                </w:tcPr>
                <w:p>
                  <w:r>
                    <w:t xml:space="preserve">595877</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c6167dace4c2416c">
                    <w:r>
                      <w:rPr>
                        <w:rStyle w:val="Hyperlink"/>
                      </w:rPr>
                      <w:t xml:space="preserve">Household Australian State/Territory identifier</w:t>
                    </w:r>
                  </w:hyperlink>
                </w:p>
              </w:tc>
              <w:tc>
                <w:tcPr>
                  <w:vAlign w:val="top"/>
                </w:tcPr>
                <w:p>
                  <w:r>
                    <w:t xml:space="preserve">608075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45217fa6464456b">
                    <w:r>
                      <w:rPr>
                        <w:rStyle w:val="Hyperlink"/>
                      </w:rPr>
                      <w:t xml:space="preserve">Household disability status</w:t>
                    </w:r>
                  </w:hyperlink>
                </w:p>
              </w:tc>
              <w:tc>
                <w:tcPr>
                  <w:vAlign w:val="top"/>
                </w:tcPr>
                <w:p>
                  <w:r>
                    <w:t xml:space="preserve">607876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042c762f3454b7a">
                    <w:r>
                      <w:rPr>
                        <w:rStyle w:val="Hyperlink"/>
                      </w:rPr>
                      <w:t xml:space="preserve">Greatest need date</w:t>
                    </w:r>
                  </w:hyperlink>
                </w:p>
              </w:tc>
              <w:tc>
                <w:tcPr>
                  <w:vAlign w:val="top"/>
                </w:tcPr>
                <w:p>
                  <w:r>
                    <w:t xml:space="preserve">605815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d30743ce3ea04e14">
                    <w:r>
                      <w:rPr>
                        <w:rStyle w:val="Hyperlink"/>
                      </w:rPr>
                      <w:t xml:space="preserve">Greatest need indicator</w:t>
                    </w:r>
                  </w:hyperlink>
                </w:p>
              </w:tc>
              <w:tc>
                <w:tcPr>
                  <w:vAlign w:val="top"/>
                </w:tcPr>
                <w:p>
                  <w:r>
                    <w:t xml:space="preserve">608411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11ed2e1469d4643">
                    <w:r>
                      <w:rPr>
                        <w:rStyle w:val="Hyperlink"/>
                      </w:rPr>
                      <w:t xml:space="preserve">Greatest need reason</w:t>
                    </w:r>
                  </w:hyperlink>
                </w:p>
              </w:tc>
              <w:tc>
                <w:tcPr>
                  <w:vAlign w:val="top"/>
                </w:tcPr>
                <w:p>
                  <w:r>
                    <w:t xml:space="preserve">607878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Homeless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Life or safety at risk in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Health condition aggravated by housing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Housing inappropriate to needs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high housing costs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ec73198177d4e64">
                    <w:r>
                      <w:rPr>
                        <w:rStyle w:val="Hyperlink"/>
                      </w:rPr>
                      <w:t xml:space="preserve">Gross weekly household income </w:t>
                    </w:r>
                  </w:hyperlink>
                </w:p>
              </w:tc>
              <w:tc>
                <w:tcPr>
                  <w:vAlign w:val="top"/>
                </w:tcPr>
                <w:p>
                  <w:r>
                    <w:t xml:space="preserve">607882</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9fbda73adcdc4b53">
                    <w:r>
                      <w:rPr>
                        <w:rStyle w:val="Hyperlink"/>
                      </w:rPr>
                      <w:t xml:space="preserve">Household Indigenous status</w:t>
                    </w:r>
                  </w:hyperlink>
                </w:p>
              </w:tc>
              <w:tc>
                <w:tcPr>
                  <w:vAlign w:val="top"/>
                </w:tcPr>
                <w:p>
                  <w:r>
                    <w:t xml:space="preserve">607888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715e9d394c84117">
                    <w:r>
                      <w:rPr>
                        <w:rStyle w:val="Hyperlink"/>
                      </w:rPr>
                      <w:t xml:space="preserve">New allocation status</w:t>
                    </w:r>
                  </w:hyperlink>
                </w:p>
              </w:tc>
              <w:tc>
                <w:tcPr>
                  <w:vAlign w:val="top"/>
                </w:tcPr>
                <w:p>
                  <w:r>
                    <w:t xml:space="preserve">607890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bf300a859944108">
                    <w:r>
                      <w:rPr>
                        <w:rStyle w:val="Hyperlink"/>
                      </w:rPr>
                      <w:t xml:space="preserve">Rebated household status</w:t>
                    </w:r>
                  </w:hyperlink>
                </w:p>
              </w:tc>
              <w:tc>
                <w:tcPr>
                  <w:vAlign w:val="top"/>
                </w:tcPr>
                <w:p>
                  <w:r>
                    <w:t xml:space="preserve">607892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84215be8274467d">
                    <w:r>
                      <w:rPr>
                        <w:rStyle w:val="Hyperlink"/>
                      </w:rPr>
                      <w:t xml:space="preserve">Transfer status</w:t>
                    </w:r>
                  </w:hyperlink>
                </w:p>
              </w:tc>
              <w:tc>
                <w:tcPr>
                  <w:vAlign w:val="top"/>
                </w:tcPr>
                <w:p>
                  <w:r>
                    <w:t xml:space="preserve">608149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84d9ff5b9d04a58">
                    <w:r>
                      <w:rPr>
                        <w:rStyle w:val="Hyperlink"/>
                      </w:rPr>
                      <w:t xml:space="preserve">Household weekly rebate amount</w:t>
                    </w:r>
                  </w:hyperlink>
                </w:p>
              </w:tc>
              <w:tc>
                <w:tcPr>
                  <w:vAlign w:val="top"/>
                </w:tcPr>
                <w:p>
                  <w:r>
                    <w:t xml:space="preserve">607896</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76d76e772d294aef">
                    <w:r>
                      <w:rPr>
                        <w:rStyle w:val="Hyperlink"/>
                      </w:rPr>
                      <w:t xml:space="preserve">Rent charged</w:t>
                    </w:r>
                  </w:hyperlink>
                </w:p>
              </w:tc>
              <w:tc>
                <w:tcPr>
                  <w:vAlign w:val="top"/>
                </w:tcPr>
                <w:p>
                  <w:r>
                    <w:t xml:space="preserve">607894</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b3c45ad141ee4a35">
                    <w:r>
                      <w:rPr>
                        <w:rStyle w:val="Hyperlink"/>
                      </w:rPr>
                      <w:t xml:space="preserve">Tenancy end date</w:t>
                    </w:r>
                  </w:hyperlink>
                </w:p>
              </w:tc>
              <w:tc>
                <w:tcPr>
                  <w:vAlign w:val="top"/>
                </w:tcPr>
                <w:p>
                  <w:r>
                    <w:t xml:space="preserve">498318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e5f15a1be7004de3">
                    <w:r>
                      <w:rPr>
                        <w:rStyle w:val="Hyperlink"/>
                      </w:rPr>
                      <w:t xml:space="preserve">Tenancy start date</w:t>
                    </w:r>
                  </w:hyperlink>
                </w:p>
              </w:tc>
              <w:tc>
                <w:tcPr>
                  <w:vAlign w:val="top"/>
                </w:tcPr>
                <w:p>
                  <w:r>
                    <w:t xml:space="preserve">474692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83d75e6610d146f6">
                    <w:r>
                      <w:rPr>
                        <w:rStyle w:val="Hyperlink"/>
                      </w:rPr>
                      <w:t xml:space="preserve">Dwelling identifier</w:t>
                    </w:r>
                  </w:hyperlink>
                </w:p>
              </w:tc>
              <w:tc>
                <w:tcPr>
                  <w:vAlign w:val="top"/>
                </w:tcPr>
                <w:p>
                  <w:r>
                    <w:t xml:space="preserve">662949</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5f3b367fa8d34c1d">
                    <w:r>
                      <w:rPr>
                        <w:rStyle w:val="Hyperlink"/>
                      </w:rPr>
                      <w:t xml:space="preserve">Household identifier</w:t>
                    </w:r>
                  </w:hyperlink>
                </w:p>
              </w:tc>
              <w:tc>
                <w:tcPr>
                  <w:vAlign w:val="top"/>
                </w:tcPr>
                <w:p>
                  <w:r>
                    <w:t xml:space="preserve">607886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ced6e7a98e0c406e">
                    <w:r>
                      <w:rPr>
                        <w:rStyle w:val="Hyperlink"/>
                      </w:rPr>
                      <w:t xml:space="preserve">Waitlist identifier</w:t>
                    </w:r>
                  </w:hyperlink>
                </w:p>
              </w:tc>
              <w:tc>
                <w:tcPr>
                  <w:vAlign w:val="top"/>
                </w:tcPr>
                <w:p>
                  <w:r>
                    <w:t xml:space="preserve">607898</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4</w:t>
                  </w:r>
                </w:p>
              </w:tc>
              <w:tc>
                <w:tcPr>
                  <w:tcMar/>
                  <w:vAlign w:val="top"/>
                </w:tcPr>
                <w:p>
                  <w:hyperlink w:history="true" r:id="R320c04b5573744e2">
                    <w:r>
                      <w:rPr>
                        <w:rStyle w:val="Hyperlink"/>
                      </w:rPr>
                      <w:t xml:space="preserve">Person (housing assistance) cluster</w:t>
                    </w:r>
                  </w:hyperlink>
                </w:p>
              </w:tc>
              <w:tc>
                <w:tcPr>
                  <w:vAlign w:val="top"/>
                </w:tcPr>
                <w:p>
                  <w:r>
                    <w:t xml:space="preserve">605260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8830a92ab97a493f">
                    <w:r>
                      <w:rPr>
                        <w:rStyle w:val="Hyperlink"/>
                      </w:rPr>
                      <w:t xml:space="preserve">Housing program type (public housing/SOMIH)</w:t>
                    </w:r>
                  </w:hyperlink>
                </w:p>
              </w:tc>
              <w:tc>
                <w:tcPr>
                  <w:vAlign w:val="top"/>
                </w:tcPr>
                <w:p>
                  <w:r>
                    <w:t xml:space="preserve">662978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0f0fc9001fd477f">
                    <w:r>
                      <w:rPr>
                        <w:rStyle w:val="Hyperlink"/>
                      </w:rPr>
                      <w:t xml:space="preserve">Income unit ID</w:t>
                    </w:r>
                  </w:hyperlink>
                </w:p>
              </w:tc>
              <w:tc>
                <w:tcPr>
                  <w:vAlign w:val="top"/>
                </w:tcPr>
                <w:p>
                  <w:r>
                    <w:t xml:space="preserve">607900</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be2bc87f06634ca7">
                    <w:r>
                      <w:rPr>
                        <w:rStyle w:val="Hyperlink"/>
                      </w:rPr>
                      <w:t xml:space="preserve">Relationship within income unit</w:t>
                    </w:r>
                  </w:hyperlink>
                </w:p>
              </w:tc>
              <w:tc>
                <w:tcPr>
                  <w:vAlign w:val="top"/>
                </w:tcPr>
                <w:p>
                  <w:r>
                    <w:t xml:space="preserve">669186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Income unit reference person/tenant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Spouse/partner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Dependant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Dependant aged between 16 and 24 years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9e4253485224cf9">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0917a342a644e0a">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f58105409c76446b">
                    <w:r>
                      <w:rPr>
                        <w:rStyle w:val="Hyperlink"/>
                      </w:rPr>
                      <w:t xml:space="preserve">Disability status</w:t>
                    </w:r>
                  </w:hyperlink>
                </w:p>
              </w:tc>
              <w:tc>
                <w:tcPr>
                  <w:vAlign w:val="top"/>
                </w:tcPr>
                <w:p>
                  <w:r>
                    <w:t xml:space="preserve">608048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944014373a4432b">
                    <w:r>
                      <w:rPr>
                        <w:rStyle w:val="Hyperlink"/>
                      </w:rPr>
                      <w:t xml:space="preserve">Single/couple status</w:t>
                    </w:r>
                  </w:hyperlink>
                </w:p>
              </w:tc>
              <w:tc>
                <w:tcPr>
                  <w:vAlign w:val="top"/>
                </w:tcPr>
                <w:p>
                  <w:r>
                    <w:t xml:space="preserve">608109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 status OR couple relationship with non-household member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Couple relationship with another household member (de facto or married)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3890595d4314b62">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459b56c3eed4deb">
                    <w:r>
                      <w:rPr>
                        <w:rStyle w:val="Hyperlink"/>
                      </w:rPr>
                      <w:t xml:space="preserve">Relationship to reference person</w:t>
                    </w:r>
                  </w:hyperlink>
                </w:p>
              </w:tc>
              <w:tc>
                <w:tcPr>
                  <w:vAlign w:val="top"/>
                </w:tcPr>
                <w:p>
                  <w:r>
                    <w:t xml:space="preserve">609147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Reference person/tenant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Spouse/partner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Son/daughter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Son/daughter aged 16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Resident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Resident aged 16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18a36eea8b34fd5">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a431c9dc31143f7">
                    <w:r>
                      <w:rPr>
                        <w:rStyle w:val="Hyperlink"/>
                      </w:rPr>
                      <w:t xml:space="preserve">Household identifier</w:t>
                    </w:r>
                  </w:hyperlink>
                </w:p>
              </w:tc>
              <w:tc>
                <w:tcPr>
                  <w:vAlign w:val="top"/>
                </w:tcPr>
                <w:p>
                  <w:r>
                    <w:t xml:space="preserve">607886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ae67611a1a104728">
                    <w:r>
                      <w:rPr>
                        <w:rStyle w:val="Hyperlink"/>
                      </w:rPr>
                      <w:t xml:space="preserve">Person identifier</w:t>
                    </w:r>
                  </w:hyperlink>
                </w:p>
              </w:tc>
              <w:tc>
                <w:tcPr>
                  <w:vAlign w:val="top"/>
                </w:tcPr>
                <w:p>
                  <w:r>
                    <w:t xml:space="preserve">608082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5</w:t>
                  </w:r>
                </w:p>
              </w:tc>
              <w:tc>
                <w:tcPr>
                  <w:tcMar/>
                  <w:vAlign w:val="top"/>
                </w:tcPr>
                <w:p>
                  <w:hyperlink w:history="true" r:id="R1f92451ecb5f40ee">
                    <w:r>
                      <w:rPr>
                        <w:rStyle w:val="Hyperlink"/>
                      </w:rPr>
                      <w:t xml:space="preserve">Person income (housing assistance) cluster</w:t>
                    </w:r>
                  </w:hyperlink>
                </w:p>
              </w:tc>
              <w:tc>
                <w:tcPr>
                  <w:vAlign w:val="top"/>
                </w:tcPr>
                <w:p>
                  <w:r>
                    <w:t xml:space="preserve">605275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e1ccda2735434f52">
                    <w:r>
                      <w:rPr>
                        <w:rStyle w:val="Hyperlink"/>
                      </w:rPr>
                      <w:t xml:space="preserve">Housing program type (public housing/SOMIH)</w:t>
                    </w:r>
                  </w:hyperlink>
                </w:p>
              </w:tc>
              <w:tc>
                <w:tcPr>
                  <w:vAlign w:val="top"/>
                </w:tcPr>
                <w:p>
                  <w:r>
                    <w:t xml:space="preserve">662978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57403f095c244bb">
                    <w:r>
                      <w:rPr>
                        <w:rStyle w:val="Hyperlink"/>
                      </w:rPr>
                      <w:t xml:space="preserve">Income unit ID</w:t>
                    </w:r>
                  </w:hyperlink>
                </w:p>
              </w:tc>
              <w:tc>
                <w:tcPr>
                  <w:vAlign w:val="top"/>
                </w:tcPr>
                <w:p>
                  <w:r>
                    <w:t xml:space="preserve">607900</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f5c3a82df16d4a43">
                    <w:r>
                      <w:rPr>
                        <w:rStyle w:val="Hyperlink"/>
                      </w:rPr>
                      <w:t xml:space="preserve">Assessable income</w:t>
                    </w:r>
                  </w:hyperlink>
                </w:p>
              </w:tc>
              <w:tc>
                <w:tcPr>
                  <w:vAlign w:val="top"/>
                </w:tcPr>
                <w:p>
                  <w:r>
                    <w:t xml:space="preserve">595870</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dc6cac8dc2474854">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2d4afec7c654fef">
                    <w:r>
                      <w:rPr>
                        <w:rStyle w:val="Hyperlink"/>
                      </w:rPr>
                      <w:t xml:space="preserve">Gross income (person)</w:t>
                    </w:r>
                  </w:hyperlink>
                </w:p>
              </w:tc>
              <w:tc>
                <w:tcPr>
                  <w:vAlign w:val="top"/>
                </w:tcPr>
                <w:p>
                  <w:r>
                    <w:t xml:space="preserve">595887</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9738a9094f744206">
                    <w:r>
                      <w:rPr>
                        <w:rStyle w:val="Hyperlink"/>
                      </w:rPr>
                      <w:t xml:space="preserve">Principal income source (housing)</w:t>
                    </w:r>
                  </w:hyperlink>
                </w:p>
              </w:tc>
              <w:tc>
                <w:tcPr>
                  <w:vAlign w:val="top"/>
                </w:tcPr>
                <w:p>
                  <w:r>
                    <w:t xml:space="preserve">608085</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Employee cash income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Unincorporated business income</w:t>
                        </w:r>
                      </w:p>
                    </w:tc>
                  </w:tr>
                  <w:tr>
                    <w:trPr/>
                    <w:tc>
                      <w:tcPr>
                        <w:tcW w:w="1000" w:type="pct"/>
                        <w:tcBorders>
                          <w:top w:val="none" w:color="000000" w:sz="0"/>
                          <w:left w:val="none" w:color="000000" w:sz="0"/>
                          <w:bottom w:val="none" w:color="000000" w:sz="0"/>
                          <w:right w:val="none" w:color="000000" w:sz="0"/>
                        </w:tcBorders>
                        <w:tcMar/>
                        <w:vAlign w:val="top"/>
                      </w:tcPr>
                      <w:p>
                        <w:r>
                          <w:t xml:space="preserve">3.1.1 </w:t>
                        </w:r>
                      </w:p>
                    </w:tc>
                    <w:tc>
                      <w:tcPr>
                        <w:tcBorders>
                          <w:top w:val="none" w:color="000000" w:sz="0"/>
                          <w:left w:val="none" w:color="000000" w:sz="0"/>
                          <w:bottom w:val="none" w:color="000000" w:sz="0"/>
                          <w:right w:val="none" w:color="000000" w:sz="0"/>
                        </w:tcBorders>
                        <w:tcMar/>
                        <w:vAlign w:val="top"/>
                      </w:tcPr>
                      <w:p>
                        <w:r>
                          <w:t xml:space="preserve">Youth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Newstart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Other allowances for students and the unemployed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Age pension</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Disability Support pension</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Other Centrelink pensions/allowances for the aged and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3.3.1 </w:t>
                        </w:r>
                      </w:p>
                    </w:tc>
                    <w:tc>
                      <w:tcPr>
                        <w:tcBorders>
                          <w:top w:val="none" w:color="000000" w:sz="0"/>
                          <w:left w:val="none" w:color="000000" w:sz="0"/>
                          <w:bottom w:val="none" w:color="000000" w:sz="0"/>
                          <w:right w:val="none" w:color="000000" w:sz="0"/>
                        </w:tcBorders>
                        <w:tcMar/>
                        <w:vAlign w:val="top"/>
                      </w:tcPr>
                      <w:p>
                        <w:r>
                          <w:t xml:space="preserve">Family Tax Benefit (Parts A and B)</w:t>
                        </w:r>
                      </w:p>
                    </w:tc>
                  </w:tr>
                  <w:tr>
                    <w:trPr/>
                    <w:tc>
                      <w:tcPr>
                        <w:tcW w:w="1000" w:type="pct"/>
                        <w:tcBorders>
                          <w:top w:val="none" w:color="000000" w:sz="0"/>
                          <w:left w:val="none" w:color="000000" w:sz="0"/>
                          <w:bottom w:val="none" w:color="000000" w:sz="0"/>
                          <w:right w:val="none" w:color="000000" w:sz="0"/>
                        </w:tcBorders>
                        <w:tcMar/>
                        <w:vAlign w:val="top"/>
                      </w:tcPr>
                      <w:p>
                        <w:r>
                          <w:t xml:space="preserve">3.3.2.1 </w:t>
                        </w:r>
                      </w:p>
                    </w:tc>
                    <w:tc>
                      <w:tcPr>
                        <w:tcBorders>
                          <w:top w:val="none" w:color="000000" w:sz="0"/>
                          <w:left w:val="none" w:color="000000" w:sz="0"/>
                          <w:bottom w:val="none" w:color="000000" w:sz="0"/>
                          <w:right w:val="none" w:color="000000" w:sz="0"/>
                        </w:tcBorders>
                        <w:tcMar/>
                        <w:vAlign w:val="top"/>
                      </w:tcPr>
                      <w:p>
                        <w:r>
                          <w:t xml:space="preserve">Parenting Payment - partnered</w:t>
                        </w:r>
                      </w:p>
                    </w:tc>
                  </w:tr>
                  <w:tr>
                    <w:trPr/>
                    <w:tc>
                      <w:tcPr>
                        <w:tcW w:w="1000" w:type="pct"/>
                        <w:tcBorders>
                          <w:top w:val="none" w:color="000000" w:sz="0"/>
                          <w:left w:val="none" w:color="000000" w:sz="0"/>
                          <w:bottom w:val="none" w:color="000000" w:sz="0"/>
                          <w:right w:val="none" w:color="000000" w:sz="0"/>
                        </w:tcBorders>
                        <w:tcMar/>
                        <w:vAlign w:val="top"/>
                      </w:tcPr>
                      <w:p>
                        <w:r>
                          <w:t xml:space="preserve">3.3.2.2 </w:t>
                        </w:r>
                      </w:p>
                    </w:tc>
                    <w:tc>
                      <w:tcPr>
                        <w:tcBorders>
                          <w:top w:val="none" w:color="000000" w:sz="0"/>
                          <w:left w:val="none" w:color="000000" w:sz="0"/>
                          <w:bottom w:val="none" w:color="000000" w:sz="0"/>
                          <w:right w:val="none" w:color="000000" w:sz="0"/>
                        </w:tcBorders>
                        <w:tcMar/>
                        <w:vAlign w:val="top"/>
                      </w:tcPr>
                      <w:p>
                        <w:r>
                          <w:t xml:space="preserve">Parenting Payment - single</w:t>
                        </w:r>
                      </w:p>
                    </w:tc>
                  </w:tr>
                  <w:tr>
                    <w:trPr/>
                    <w:tc>
                      <w:tcPr>
                        <w:tcW w:w="1000" w:type="pct"/>
                        <w:tcBorders>
                          <w:top w:val="none" w:color="000000" w:sz="0"/>
                          <w:left w:val="none" w:color="000000" w:sz="0"/>
                          <w:bottom w:val="none" w:color="000000" w:sz="0"/>
                          <w:right w:val="none" w:color="000000" w:sz="0"/>
                        </w:tcBorders>
                        <w:tcMar/>
                        <w:vAlign w:val="top"/>
                      </w:tcPr>
                      <w:p>
                        <w:r>
                          <w:t xml:space="preserve">3.3.3 </w:t>
                        </w:r>
                      </w:p>
                    </w:tc>
                    <w:tc>
                      <w:tcPr>
                        <w:tcBorders>
                          <w:top w:val="none" w:color="000000" w:sz="0"/>
                          <w:left w:val="none" w:color="000000" w:sz="0"/>
                          <w:bottom w:val="none" w:color="000000" w:sz="0"/>
                          <w:right w:val="none" w:color="000000" w:sz="0"/>
                        </w:tcBorders>
                        <w:tcMar/>
                        <w:vAlign w:val="top"/>
                      </w:tcPr>
                      <w:p>
                        <w:r>
                          <w:t xml:space="preserve">Double Orphan Pension</w:t>
                        </w:r>
                      </w:p>
                    </w:tc>
                  </w:tr>
                  <w:tr>
                    <w:trPr/>
                    <w:tc>
                      <w:tcPr>
                        <w:tcW w:w="1000" w:type="pct"/>
                        <w:tcBorders>
                          <w:top w:val="none" w:color="000000" w:sz="0"/>
                          <w:left w:val="none" w:color="000000" w:sz="0"/>
                          <w:bottom w:val="none" w:color="000000" w:sz="0"/>
                          <w:right w:val="none" w:color="000000" w:sz="0"/>
                        </w:tcBorders>
                        <w:tcMar/>
                        <w:vAlign w:val="top"/>
                      </w:tcPr>
                      <w:p>
                        <w:r>
                          <w:t xml:space="preserve">3.3.4 </w:t>
                        </w:r>
                      </w:p>
                    </w:tc>
                    <w:tc>
                      <w:tcPr>
                        <w:tcBorders>
                          <w:top w:val="none" w:color="000000" w:sz="0"/>
                          <w:left w:val="none" w:color="000000" w:sz="0"/>
                          <w:bottom w:val="none" w:color="000000" w:sz="0"/>
                          <w:right w:val="none" w:color="000000" w:sz="0"/>
                        </w:tcBorders>
                        <w:tcMar/>
                        <w:vAlign w:val="top"/>
                      </w:tcPr>
                      <w:p>
                        <w:r>
                          <w:t xml:space="preserve">Wife Pension</w:t>
                        </w:r>
                      </w:p>
                    </w:tc>
                  </w:tr>
                  <w:tr>
                    <w:trPr/>
                    <w:tc>
                      <w:tcPr>
                        <w:tcW w:w="1000" w:type="pct"/>
                        <w:tcBorders>
                          <w:top w:val="none" w:color="000000" w:sz="0"/>
                          <w:left w:val="none" w:color="000000" w:sz="0"/>
                          <w:bottom w:val="none" w:color="000000" w:sz="0"/>
                          <w:right w:val="none" w:color="000000" w:sz="0"/>
                        </w:tcBorders>
                        <w:tcMar/>
                        <w:vAlign w:val="top"/>
                      </w:tcPr>
                      <w:p>
                        <w:r>
                          <w:t xml:space="preserve">3.3.5 </w:t>
                        </w:r>
                      </w:p>
                    </w:tc>
                    <w:tc>
                      <w:tcPr>
                        <w:tcBorders>
                          <w:top w:val="none" w:color="000000" w:sz="0"/>
                          <w:left w:val="none" w:color="000000" w:sz="0"/>
                          <w:bottom w:val="none" w:color="000000" w:sz="0"/>
                          <w:right w:val="none" w:color="000000" w:sz="0"/>
                        </w:tcBorders>
                        <w:tcMar/>
                        <w:vAlign w:val="top"/>
                      </w:tcPr>
                      <w:p>
                        <w:r>
                          <w:t xml:space="preserve">Widow B Pension</w:t>
                        </w:r>
                      </w:p>
                    </w:tc>
                  </w:tr>
                  <w:tr>
                    <w:trPr/>
                    <w:tc>
                      <w:tcPr>
                        <w:tcW w:w="1000" w:type="pct"/>
                        <w:tcBorders>
                          <w:top w:val="none" w:color="000000" w:sz="0"/>
                          <w:left w:val="none" w:color="000000" w:sz="0"/>
                          <w:bottom w:val="none" w:color="000000" w:sz="0"/>
                          <w:right w:val="none" w:color="000000" w:sz="0"/>
                        </w:tcBorders>
                        <w:tcMar/>
                        <w:vAlign w:val="top"/>
                      </w:tcPr>
                      <w:p>
                        <w:r>
                          <w:t xml:space="preserve">3.3.6 </w:t>
                        </w:r>
                      </w:p>
                    </w:tc>
                    <w:tc>
                      <w:tcPr>
                        <w:tcBorders>
                          <w:top w:val="none" w:color="000000" w:sz="0"/>
                          <w:left w:val="none" w:color="000000" w:sz="0"/>
                          <w:bottom w:val="none" w:color="000000" w:sz="0"/>
                          <w:right w:val="none" w:color="000000" w:sz="0"/>
                        </w:tcBorders>
                        <w:tcMar/>
                        <w:vAlign w:val="top"/>
                      </w:tcPr>
                      <w:p>
                        <w:r>
                          <w:t xml:space="preserve">Bereavement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3.3.8 </w:t>
                        </w:r>
                      </w:p>
                    </w:tc>
                    <w:tc>
                      <w:tcPr>
                        <w:tcBorders>
                          <w:top w:val="none" w:color="000000" w:sz="0"/>
                          <w:left w:val="none" w:color="000000" w:sz="0"/>
                          <w:bottom w:val="none" w:color="000000" w:sz="0"/>
                          <w:right w:val="none" w:color="000000" w:sz="0"/>
                        </w:tcBorders>
                        <w:tcMar/>
                        <w:vAlign w:val="top"/>
                      </w:tcPr>
                      <w:p>
                        <w:r>
                          <w:t xml:space="preserve">Carer Payment</w:t>
                        </w:r>
                      </w:p>
                    </w:tc>
                  </w:tr>
                  <w:tr>
                    <w:trPr/>
                    <w:tc>
                      <w:tcPr>
                        <w:tcW w:w="1000" w:type="pct"/>
                        <w:tcBorders>
                          <w:top w:val="none" w:color="000000" w:sz="0"/>
                          <w:left w:val="none" w:color="000000" w:sz="0"/>
                          <w:bottom w:val="none" w:color="000000" w:sz="0"/>
                          <w:right w:val="none" w:color="000000" w:sz="0"/>
                        </w:tcBorders>
                        <w:tcMar/>
                        <w:vAlign w:val="top"/>
                      </w:tcPr>
                      <w:p>
                        <w:r>
                          <w:t xml:space="preserve">3.3.9 </w:t>
                        </w:r>
                      </w:p>
                    </w:tc>
                    <w:tc>
                      <w:tcPr>
                        <w:tcBorders>
                          <w:top w:val="none" w:color="000000" w:sz="0"/>
                          <w:left w:val="none" w:color="000000" w:sz="0"/>
                          <w:bottom w:val="none" w:color="000000" w:sz="0"/>
                          <w:right w:val="none" w:color="000000" w:sz="0"/>
                        </w:tcBorders>
                        <w:tcMar/>
                        <w:vAlign w:val="top"/>
                      </w:tcPr>
                      <w:p>
                        <w:r>
                          <w:t xml:space="preserve">Carer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3.3.10 </w:t>
                        </w:r>
                      </w:p>
                    </w:tc>
                    <w:tc>
                      <w:tcPr>
                        <w:tcBorders>
                          <w:top w:val="none" w:color="000000" w:sz="0"/>
                          <w:left w:val="none" w:color="000000" w:sz="0"/>
                          <w:bottom w:val="none" w:color="000000" w:sz="0"/>
                          <w:right w:val="none" w:color="000000" w:sz="0"/>
                        </w:tcBorders>
                        <w:tcMar/>
                        <w:vAlign w:val="top"/>
                      </w:tcPr>
                      <w:p>
                        <w:r>
                          <w:t xml:space="preserve">Carer Supplement</w:t>
                        </w:r>
                      </w:p>
                    </w:tc>
                  </w:tr>
                  <w:tr>
                    <w:trPr/>
                    <w:tc>
                      <w:tcPr>
                        <w:tcW w:w="1000" w:type="pct"/>
                        <w:tcBorders>
                          <w:top w:val="none" w:color="000000" w:sz="0"/>
                          <w:left w:val="none" w:color="000000" w:sz="0"/>
                          <w:bottom w:val="none" w:color="000000" w:sz="0"/>
                          <w:right w:val="none" w:color="000000" w:sz="0"/>
                        </w:tcBorders>
                        <w:tcMar/>
                        <w:vAlign w:val="top"/>
                      </w:tcPr>
                      <w:p>
                        <w:r>
                          <w:t xml:space="preserve">3.3.11 </w:t>
                        </w:r>
                      </w:p>
                    </w:tc>
                    <w:tc>
                      <w:tcPr>
                        <w:tcBorders>
                          <w:top w:val="none" w:color="000000" w:sz="0"/>
                          <w:left w:val="none" w:color="000000" w:sz="0"/>
                          <w:bottom w:val="none" w:color="000000" w:sz="0"/>
                          <w:right w:val="none" w:color="000000" w:sz="0"/>
                        </w:tcBorders>
                        <w:tcMar/>
                        <w:vAlign w:val="top"/>
                      </w:tcPr>
                      <w:p>
                        <w:r>
                          <w:t xml:space="preserve">Partner Allowance </w:t>
                        </w:r>
                      </w:p>
                    </w:tc>
                  </w:tr>
                  <w:tr>
                    <w:trPr/>
                    <w:tc>
                      <w:tcPr>
                        <w:tcW w:w="1000" w:type="pct"/>
                        <w:tcBorders>
                          <w:top w:val="none" w:color="000000" w:sz="0"/>
                          <w:left w:val="none" w:color="000000" w:sz="0"/>
                          <w:bottom w:val="none" w:color="000000" w:sz="0"/>
                          <w:right w:val="none" w:color="000000" w:sz="0"/>
                        </w:tcBorders>
                        <w:tcMar/>
                        <w:vAlign w:val="top"/>
                      </w:tcPr>
                      <w:p>
                        <w:r>
                          <w:t xml:space="preserve">3.3.12 </w:t>
                        </w:r>
                      </w:p>
                    </w:tc>
                    <w:tc>
                      <w:tcPr>
                        <w:tcBorders>
                          <w:top w:val="none" w:color="000000" w:sz="0"/>
                          <w:left w:val="none" w:color="000000" w:sz="0"/>
                          <w:bottom w:val="none" w:color="000000" w:sz="0"/>
                          <w:right w:val="none" w:color="000000" w:sz="0"/>
                        </w:tcBorders>
                        <w:tcMar/>
                        <w:vAlign w:val="top"/>
                      </w:tcPr>
                      <w:p>
                        <w:r>
                          <w:t xml:space="preserve">Widow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3.3.13 </w:t>
                        </w:r>
                      </w:p>
                    </w:tc>
                    <w:tc>
                      <w:tcPr>
                        <w:tcBorders>
                          <w:top w:val="none" w:color="000000" w:sz="0"/>
                          <w:left w:val="none" w:color="000000" w:sz="0"/>
                          <w:bottom w:val="none" w:color="000000" w:sz="0"/>
                          <w:right w:val="none" w:color="000000" w:sz="0"/>
                        </w:tcBorders>
                        <w:tcMar/>
                        <w:vAlign w:val="top"/>
                      </w:tcPr>
                      <w:p>
                        <w:r>
                          <w:t xml:space="preserve">CDEP Participant Supplement </w:t>
                        </w:r>
                      </w:p>
                    </w:tc>
                  </w:tr>
                  <w:tr>
                    <w:trPr/>
                    <w:tc>
                      <w:tcPr>
                        <w:tcW w:w="1000" w:type="pct"/>
                        <w:tcBorders>
                          <w:top w:val="none" w:color="000000" w:sz="0"/>
                          <w:left w:val="none" w:color="000000" w:sz="0"/>
                          <w:bottom w:val="none" w:color="000000" w:sz="0"/>
                          <w:right w:val="none" w:color="000000" w:sz="0"/>
                        </w:tcBorders>
                        <w:tcMar/>
                        <w:vAlign w:val="top"/>
                      </w:tcPr>
                      <w:p>
                        <w:r>
                          <w:t xml:space="preserve">3.3.14 </w:t>
                        </w:r>
                      </w:p>
                    </w:tc>
                    <w:tc>
                      <w:tcPr>
                        <w:tcBorders>
                          <w:top w:val="none" w:color="000000" w:sz="0"/>
                          <w:left w:val="none" w:color="000000" w:sz="0"/>
                          <w:bottom w:val="none" w:color="000000" w:sz="0"/>
                          <w:right w:val="none" w:color="000000" w:sz="0"/>
                        </w:tcBorders>
                        <w:tcMar/>
                        <w:vAlign w:val="top"/>
                      </w:tcPr>
                      <w:p>
                        <w:r>
                          <w:t xml:space="preserve">Special Benefit</w:t>
                        </w:r>
                      </w:p>
                    </w:tc>
                  </w:tr>
                  <w:tr>
                    <w:trPr/>
                    <w:tc>
                      <w:tcPr>
                        <w:tcW w:w="1000" w:type="pct"/>
                        <w:tcBorders>
                          <w:top w:val="none" w:color="000000" w:sz="0"/>
                          <w:left w:val="none" w:color="000000" w:sz="0"/>
                          <w:bottom w:val="none" w:color="000000" w:sz="0"/>
                          <w:right w:val="none" w:color="000000" w:sz="0"/>
                        </w:tcBorders>
                        <w:tcMar/>
                        <w:vAlign w:val="top"/>
                      </w:tcPr>
                      <w:p>
                        <w:r>
                          <w:t xml:space="preserve">3.3.15 </w:t>
                        </w:r>
                      </w:p>
                    </w:tc>
                    <w:tc>
                      <w:tcPr>
                        <w:tcBorders>
                          <w:top w:val="none" w:color="000000" w:sz="0"/>
                          <w:left w:val="none" w:color="000000" w:sz="0"/>
                          <w:bottom w:val="none" w:color="000000" w:sz="0"/>
                          <w:right w:val="none" w:color="000000" w:sz="0"/>
                        </w:tcBorders>
                        <w:tcMar/>
                        <w:vAlign w:val="top"/>
                      </w:tcPr>
                      <w:p>
                        <w:r>
                          <w:t xml:space="preserve">Service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3.3.16 </w:t>
                        </w:r>
                      </w:p>
                    </w:tc>
                    <w:tc>
                      <w:tcPr>
                        <w:tcBorders>
                          <w:top w:val="none" w:color="000000" w:sz="0"/>
                          <w:left w:val="none" w:color="000000" w:sz="0"/>
                          <w:bottom w:val="none" w:color="000000" w:sz="0"/>
                          <w:right w:val="none" w:color="000000" w:sz="0"/>
                        </w:tcBorders>
                        <w:tcMar/>
                        <w:vAlign w:val="top"/>
                      </w:tcPr>
                      <w:p>
                        <w:r>
                          <w:t xml:space="preserve">Disability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3.3.17 </w:t>
                        </w:r>
                      </w:p>
                    </w:tc>
                    <w:tc>
                      <w:tcPr>
                        <w:tcBorders>
                          <w:top w:val="none" w:color="000000" w:sz="0"/>
                          <w:left w:val="none" w:color="000000" w:sz="0"/>
                          <w:bottom w:val="none" w:color="000000" w:sz="0"/>
                          <w:right w:val="none" w:color="000000" w:sz="0"/>
                        </w:tcBorders>
                        <w:tcMar/>
                        <w:vAlign w:val="top"/>
                      </w:tcPr>
                      <w:p>
                        <w:r>
                          <w:t xml:space="preserve">War widow's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3.3.18 </w:t>
                        </w:r>
                      </w:p>
                    </w:tc>
                    <w:tc>
                      <w:tcPr>
                        <w:tcBorders>
                          <w:top w:val="none" w:color="000000" w:sz="0"/>
                          <w:left w:val="none" w:color="000000" w:sz="0"/>
                          <w:bottom w:val="none" w:color="000000" w:sz="0"/>
                          <w:right w:val="none" w:color="000000" w:sz="0"/>
                        </w:tcBorders>
                        <w:tcMar/>
                        <w:vAlign w:val="top"/>
                      </w:tcPr>
                      <w:p>
                        <w:r>
                          <w:t xml:space="preserve">Pensions and allowances from overseas governments</w:t>
                        </w:r>
                      </w:p>
                    </w:tc>
                  </w:tr>
                  <w:tr>
                    <w:trPr/>
                    <w:tc>
                      <w:tcPr>
                        <w:tcW w:w="1000" w:type="pct"/>
                        <w:tcBorders>
                          <w:top w:val="none" w:color="000000" w:sz="0"/>
                          <w:left w:val="none" w:color="000000" w:sz="0"/>
                          <w:bottom w:val="none" w:color="000000" w:sz="0"/>
                          <w:right w:val="none" w:color="000000" w:sz="0"/>
                        </w:tcBorders>
                        <w:tcMar/>
                        <w:vAlign w:val="top"/>
                      </w:tcPr>
                      <w:p>
                        <w:r>
                          <w:t xml:space="preserve">3.3.19 </w:t>
                        </w:r>
                      </w:p>
                    </w:tc>
                    <w:tc>
                      <w:tcPr>
                        <w:tcBorders>
                          <w:top w:val="none" w:color="000000" w:sz="0"/>
                          <w:left w:val="none" w:color="000000" w:sz="0"/>
                          <w:bottom w:val="none" w:color="000000" w:sz="0"/>
                          <w:right w:val="none" w:color="000000" w:sz="0"/>
                        </w:tcBorders>
                        <w:tcMar/>
                        <w:vAlign w:val="top"/>
                      </w:tcPr>
                      <w:p>
                        <w:r>
                          <w:t xml:space="preserve">Other government cash pensions and allowances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cash income (e.g. superannuation,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Nil Income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af9dd472c8b4e88">
                    <w:r>
                      <w:rPr>
                        <w:rStyle w:val="Hyperlink"/>
                      </w:rPr>
                      <w:t xml:space="preserve">Household identifier</w:t>
                    </w:r>
                  </w:hyperlink>
                </w:p>
              </w:tc>
              <w:tc>
                <w:tcPr>
                  <w:vAlign w:val="top"/>
                </w:tcPr>
                <w:p>
                  <w:r>
                    <w:t xml:space="preserve">607886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b6dad15efe3f40fe">
                    <w:r>
                      <w:rPr>
                        <w:rStyle w:val="Hyperlink"/>
                      </w:rPr>
                      <w:t xml:space="preserve">Person identifier</w:t>
                    </w:r>
                  </w:hyperlink>
                </w:p>
              </w:tc>
              <w:tc>
                <w:tcPr>
                  <w:vAlign w:val="top"/>
                </w:tcPr>
                <w:p>
                  <w:r>
                    <w:t xml:space="preserve">608082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6</w:t>
                  </w:r>
                </w:p>
              </w:tc>
              <w:tc>
                <w:tcPr>
                  <w:tcMar/>
                  <w:vAlign w:val="top"/>
                </w:tcPr>
                <w:p>
                  <w:hyperlink w:history="true" r:id="R6f7eec321ecd4d58">
                    <w:r>
                      <w:rPr>
                        <w:rStyle w:val="Hyperlink"/>
                      </w:rPr>
                      <w:t xml:space="preserve">Waitlist (housing assistance) cluster</w:t>
                    </w:r>
                  </w:hyperlink>
                </w:p>
              </w:tc>
              <w:tc>
                <w:tcPr>
                  <w:vAlign w:val="top"/>
                </w:tcPr>
                <w:p>
                  <w:r>
                    <w:t xml:space="preserve">605281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b697c92ec63e48b3">
                    <w:r>
                      <w:rPr>
                        <w:rStyle w:val="Hyperlink"/>
                      </w:rPr>
                      <w:t xml:space="preserve">Housing program type (public housing/SOMIH)</w:t>
                    </w:r>
                  </w:hyperlink>
                </w:p>
              </w:tc>
              <w:tc>
                <w:tcPr>
                  <w:vAlign w:val="top"/>
                </w:tcPr>
                <w:p>
                  <w:r>
                    <w:t xml:space="preserve">662978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34a5d41ce5f429b">
                    <w:r>
                      <w:rPr>
                        <w:rStyle w:val="Hyperlink"/>
                      </w:rPr>
                      <w:t xml:space="preserve">Waitlist application indicator</w:t>
                    </w:r>
                  </w:hyperlink>
                </w:p>
              </w:tc>
              <w:tc>
                <w:tcPr>
                  <w:vAlign w:val="top"/>
                </w:tcPr>
                <w:p>
                  <w:r>
                    <w:t xml:space="preserve">607904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861c50ab81649bd">
                    <w:r>
                      <w:rPr>
                        <w:rStyle w:val="Hyperlink"/>
                      </w:rPr>
                      <w:t xml:space="preserve">Application date (household)</w:t>
                    </w:r>
                  </w:hyperlink>
                </w:p>
              </w:tc>
              <w:tc>
                <w:tcPr>
                  <w:vAlign w:val="top"/>
                </w:tcPr>
                <w:p>
                  <w:r>
                    <w:t xml:space="preserve">607872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a4c50f428d1648b3">
                    <w:r>
                      <w:rPr>
                        <w:rStyle w:val="Hyperlink"/>
                      </w:rPr>
                      <w:t xml:space="preserve">Housing assistance application type </w:t>
                    </w:r>
                  </w:hyperlink>
                </w:p>
              </w:tc>
              <w:tc>
                <w:tcPr>
                  <w:vAlign w:val="top"/>
                </w:tcPr>
                <w:p>
                  <w:r>
                    <w:t xml:space="preserve">607906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Transfer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99ef41d88044149">
                    <w:r>
                      <w:rPr>
                        <w:rStyle w:val="Hyperlink"/>
                      </w:rPr>
                      <w:t xml:space="preserve">Household Australian State/Territory identifier</w:t>
                    </w:r>
                  </w:hyperlink>
                </w:p>
              </w:tc>
              <w:tc>
                <w:tcPr>
                  <w:vAlign w:val="top"/>
                </w:tcPr>
                <w:p>
                  <w:r>
                    <w:t xml:space="preserve">608075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dcb7631a98742d7">
                    <w:r>
                      <w:rPr>
                        <w:rStyle w:val="Hyperlink"/>
                      </w:rPr>
                      <w:t xml:space="preserve">Greatest need date</w:t>
                    </w:r>
                  </w:hyperlink>
                </w:p>
              </w:tc>
              <w:tc>
                <w:tcPr>
                  <w:vAlign w:val="top"/>
                </w:tcPr>
                <w:p>
                  <w:r>
                    <w:t xml:space="preserve">605815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a84502020f1147ce">
                    <w:r>
                      <w:rPr>
                        <w:rStyle w:val="Hyperlink"/>
                      </w:rPr>
                      <w:t xml:space="preserve">Greatest need indicator</w:t>
                    </w:r>
                  </w:hyperlink>
                </w:p>
              </w:tc>
              <w:tc>
                <w:tcPr>
                  <w:vAlign w:val="top"/>
                </w:tcPr>
                <w:p>
                  <w:r>
                    <w:t xml:space="preserve">608411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2a9c11d068449ff">
                    <w:r>
                      <w:rPr>
                        <w:rStyle w:val="Hyperlink"/>
                      </w:rPr>
                      <w:t xml:space="preserve">Greatest need reason</w:t>
                    </w:r>
                  </w:hyperlink>
                </w:p>
              </w:tc>
              <w:tc>
                <w:tcPr>
                  <w:vAlign w:val="top"/>
                </w:tcPr>
                <w:p>
                  <w:r>
                    <w:t xml:space="preserve">607878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Homeless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Life or safety at risk in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Health condition aggravated by housing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Housing inappropriate to needs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high housing costs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ef6031c51ed4d8d">
                    <w:r>
                      <w:rPr>
                        <w:rStyle w:val="Hyperlink"/>
                      </w:rPr>
                      <w:t xml:space="preserve">Waitlist identifier</w:t>
                    </w:r>
                  </w:hyperlink>
                </w:p>
              </w:tc>
              <w:tc>
                <w:tcPr>
                  <w:vAlign w:val="top"/>
                </w:tcPr>
                <w:p>
                  <w:r>
                    <w:t xml:space="preserve">607898</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bl>
          <w:p/>
        </w:tc>
      </w:tr>
    </w:tbl>
    <w:p>
      <w:r>
        <w:br/>
      </w:r>
    </w:p>
    <w:sectPr>
      <w:footerReference xmlns:r="http://schemas.openxmlformats.org/officeDocument/2006/relationships" w:type="default" r:id="Rc320e54f8551408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596082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010f7b180e44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20e54f8551408b" /><Relationship Type="http://schemas.openxmlformats.org/officeDocument/2006/relationships/header" Target="/word/header1.xml" Id="Ra73f3c0bdabd453d" /><Relationship Type="http://schemas.openxmlformats.org/officeDocument/2006/relationships/settings" Target="/word/settings.xml" Id="Rf73d75a816cf4eec" /><Relationship Type="http://schemas.openxmlformats.org/officeDocument/2006/relationships/styles" Target="/word/styles.xml" Id="R17c78456adb4481b" /><Relationship Type="http://schemas.openxmlformats.org/officeDocument/2006/relationships/hyperlink" Target="https://meteor-uat.aihw.gov.au/content/605246" TargetMode="External" Id="Rb5f75f3cf378432a" /><Relationship Type="http://schemas.openxmlformats.org/officeDocument/2006/relationships/hyperlink" Target="https://meteor-uat.aihw.gov.au/content/429894" TargetMode="External" Id="R19ffba52b1744cf7" /><Relationship Type="http://schemas.openxmlformats.org/officeDocument/2006/relationships/hyperlink" Target="https://meteor-uat.aihw.gov.au/content/669387" TargetMode="External" Id="Ra276345dd59141dd" /><Relationship Type="http://schemas.openxmlformats.org/officeDocument/2006/relationships/hyperlink" Target="https://meteor-uat.aihw.gov.au/content/607865" TargetMode="External" Id="Rdf09794cbd464bef" /><Relationship Type="http://schemas.openxmlformats.org/officeDocument/2006/relationships/hyperlink" Target="https://meteor-uat.aihw.gov.au/content/662978" TargetMode="External" Id="Rde1a4438502449ac" /><Relationship Type="http://schemas.openxmlformats.org/officeDocument/2006/relationships/hyperlink" Target="https://meteor-uat.aihw.gov.au/content/662994" TargetMode="External" Id="R4c2188ecd1c446d5" /><Relationship Type="http://schemas.openxmlformats.org/officeDocument/2006/relationships/hyperlink" Target="https://meteor-uat.aihw.gov.au/content/608497" TargetMode="External" Id="R39168a07b4d1463e" /><Relationship Type="http://schemas.openxmlformats.org/officeDocument/2006/relationships/hyperlink" Target="https://meteor-uat.aihw.gov.au/content/663006" TargetMode="External" Id="Rc5d6e6b3fbe8479c" /><Relationship Type="http://schemas.openxmlformats.org/officeDocument/2006/relationships/hyperlink" Target="https://meteor-uat.aihw.gov.au/content/663114" TargetMode="External" Id="Rd9bb0efb074249f7" /><Relationship Type="http://schemas.openxmlformats.org/officeDocument/2006/relationships/hyperlink" Target="https://meteor-uat.aihw.gov.au/content/663147" TargetMode="External" Id="Rd40e2801d6a74e64" /><Relationship Type="http://schemas.openxmlformats.org/officeDocument/2006/relationships/hyperlink" Target="https://meteor-uat.aihw.gov.au/content/662949" TargetMode="External" Id="Rfc61ef7ba95847f1" /><Relationship Type="http://schemas.openxmlformats.org/officeDocument/2006/relationships/hyperlink" Target="https://meteor-uat.aihw.gov.au/content/605278" TargetMode="External" Id="R33ecd2bc647049f6" /><Relationship Type="http://schemas.openxmlformats.org/officeDocument/2006/relationships/hyperlink" Target="https://meteor-uat.aihw.gov.au/content/669387" TargetMode="External" Id="Rea37d65d50e649dc" /><Relationship Type="http://schemas.openxmlformats.org/officeDocument/2006/relationships/hyperlink" Target="https://meteor-uat.aihw.gov.au/content/662978" TargetMode="External" Id="R81cdb06e7e6044a0" /><Relationship Type="http://schemas.openxmlformats.org/officeDocument/2006/relationships/hyperlink" Target="https://meteor-uat.aihw.gov.au/content/608070" TargetMode="External" Id="Rca16db6e8e374790" /><Relationship Type="http://schemas.openxmlformats.org/officeDocument/2006/relationships/hyperlink" Target="https://meteor-uat.aihw.gov.au/content/607868" TargetMode="External" Id="R9dcb3f2692374f09" /><Relationship Type="http://schemas.openxmlformats.org/officeDocument/2006/relationships/hyperlink" Target="https://meteor-uat.aihw.gov.au/content/663135" TargetMode="External" Id="R972cf5e8087b431e" /><Relationship Type="http://schemas.openxmlformats.org/officeDocument/2006/relationships/hyperlink" Target="https://meteor-uat.aihw.gov.au/content/607870" TargetMode="External" Id="Rf8344c1a45e74a8f" /><Relationship Type="http://schemas.openxmlformats.org/officeDocument/2006/relationships/hyperlink" Target="https://meteor-uat.aihw.gov.au/content/662949" TargetMode="External" Id="R43ef30e951134086" /><Relationship Type="http://schemas.openxmlformats.org/officeDocument/2006/relationships/hyperlink" Target="https://meteor-uat.aihw.gov.au/content/605255" TargetMode="External" Id="Rfc4093ac62d0475c" /><Relationship Type="http://schemas.openxmlformats.org/officeDocument/2006/relationships/hyperlink" Target="https://meteor-uat.aihw.gov.au/content/662978" TargetMode="External" Id="Re9cc19f6c7ea43c7" /><Relationship Type="http://schemas.openxmlformats.org/officeDocument/2006/relationships/hyperlink" Target="https://meteor-uat.aihw.gov.au/content/663054" TargetMode="External" Id="R7233a6b606ce420c" /><Relationship Type="http://schemas.openxmlformats.org/officeDocument/2006/relationships/hyperlink" Target="https://meteor-uat.aihw.gov.au/content/663147" TargetMode="External" Id="Raa9f417357b547f5" /><Relationship Type="http://schemas.openxmlformats.org/officeDocument/2006/relationships/hyperlink" Target="https://meteor-uat.aihw.gov.au/content/607872" TargetMode="External" Id="Ra7de66e1f2f44ae2" /><Relationship Type="http://schemas.openxmlformats.org/officeDocument/2006/relationships/hyperlink" Target="https://meteor-uat.aihw.gov.au/content/595877" TargetMode="External" Id="Rcf711c310e004458" /><Relationship Type="http://schemas.openxmlformats.org/officeDocument/2006/relationships/hyperlink" Target="https://meteor-uat.aihw.gov.au/content/608075" TargetMode="External" Id="Rc6167dace4c2416c" /><Relationship Type="http://schemas.openxmlformats.org/officeDocument/2006/relationships/hyperlink" Target="https://meteor-uat.aihw.gov.au/content/607876" TargetMode="External" Id="R145217fa6464456b" /><Relationship Type="http://schemas.openxmlformats.org/officeDocument/2006/relationships/hyperlink" Target="https://meteor-uat.aihw.gov.au/content/605815" TargetMode="External" Id="R4042c762f3454b7a" /><Relationship Type="http://schemas.openxmlformats.org/officeDocument/2006/relationships/hyperlink" Target="https://meteor-uat.aihw.gov.au/content/608411" TargetMode="External" Id="Rd30743ce3ea04e14" /><Relationship Type="http://schemas.openxmlformats.org/officeDocument/2006/relationships/hyperlink" Target="https://meteor-uat.aihw.gov.au/content/607878" TargetMode="External" Id="R011ed2e1469d4643" /><Relationship Type="http://schemas.openxmlformats.org/officeDocument/2006/relationships/hyperlink" Target="https://meteor-uat.aihw.gov.au/content/607882" TargetMode="External" Id="R4ec73198177d4e64" /><Relationship Type="http://schemas.openxmlformats.org/officeDocument/2006/relationships/hyperlink" Target="https://meteor-uat.aihw.gov.au/content/607888" TargetMode="External" Id="R9fbda73adcdc4b53" /><Relationship Type="http://schemas.openxmlformats.org/officeDocument/2006/relationships/hyperlink" Target="https://meteor-uat.aihw.gov.au/content/607890" TargetMode="External" Id="Re715e9d394c84117" /><Relationship Type="http://schemas.openxmlformats.org/officeDocument/2006/relationships/hyperlink" Target="https://meteor-uat.aihw.gov.au/content/607892" TargetMode="External" Id="Rfbf300a859944108" /><Relationship Type="http://schemas.openxmlformats.org/officeDocument/2006/relationships/hyperlink" Target="https://meteor-uat.aihw.gov.au/content/608149" TargetMode="External" Id="R884215be8274467d" /><Relationship Type="http://schemas.openxmlformats.org/officeDocument/2006/relationships/hyperlink" Target="https://meteor-uat.aihw.gov.au/content/607896" TargetMode="External" Id="R084d9ff5b9d04a58" /><Relationship Type="http://schemas.openxmlformats.org/officeDocument/2006/relationships/hyperlink" Target="https://meteor-uat.aihw.gov.au/content/607894" TargetMode="External" Id="R76d76e772d294aef" /><Relationship Type="http://schemas.openxmlformats.org/officeDocument/2006/relationships/hyperlink" Target="https://meteor-uat.aihw.gov.au/content/498318" TargetMode="External" Id="Rb3c45ad141ee4a35" /><Relationship Type="http://schemas.openxmlformats.org/officeDocument/2006/relationships/hyperlink" Target="https://meteor-uat.aihw.gov.au/content/474692" TargetMode="External" Id="Re5f15a1be7004de3" /><Relationship Type="http://schemas.openxmlformats.org/officeDocument/2006/relationships/hyperlink" Target="https://meteor-uat.aihw.gov.au/content/662949" TargetMode="External" Id="R83d75e6610d146f6" /><Relationship Type="http://schemas.openxmlformats.org/officeDocument/2006/relationships/hyperlink" Target="https://meteor-uat.aihw.gov.au/content/607886" TargetMode="External" Id="R5f3b367fa8d34c1d" /><Relationship Type="http://schemas.openxmlformats.org/officeDocument/2006/relationships/hyperlink" Target="https://meteor-uat.aihw.gov.au/content/607898" TargetMode="External" Id="Rced6e7a98e0c406e" /><Relationship Type="http://schemas.openxmlformats.org/officeDocument/2006/relationships/hyperlink" Target="https://meteor-uat.aihw.gov.au/content/605260" TargetMode="External" Id="R320c04b5573744e2" /><Relationship Type="http://schemas.openxmlformats.org/officeDocument/2006/relationships/hyperlink" Target="https://meteor-uat.aihw.gov.au/content/662978" TargetMode="External" Id="R8830a92ab97a493f" /><Relationship Type="http://schemas.openxmlformats.org/officeDocument/2006/relationships/hyperlink" Target="https://meteor-uat.aihw.gov.au/content/607900" TargetMode="External" Id="R80f0fc9001fd477f" /><Relationship Type="http://schemas.openxmlformats.org/officeDocument/2006/relationships/hyperlink" Target="https://meteor-uat.aihw.gov.au/content/669186" TargetMode="External" Id="Rbe2bc87f06634ca7" /><Relationship Type="http://schemas.openxmlformats.org/officeDocument/2006/relationships/hyperlink" Target="https://meteor-uat.aihw.gov.au/content/286919" TargetMode="External" Id="R19e4253485224cf9" /><Relationship Type="http://schemas.openxmlformats.org/officeDocument/2006/relationships/hyperlink" Target="https://meteor-uat.aihw.gov.au/content/287007" TargetMode="External" Id="R80917a342a644e0a" /><Relationship Type="http://schemas.openxmlformats.org/officeDocument/2006/relationships/hyperlink" Target="https://meteor-uat.aihw.gov.au/content/608048" TargetMode="External" Id="Rf58105409c76446b" /><Relationship Type="http://schemas.openxmlformats.org/officeDocument/2006/relationships/hyperlink" Target="https://meteor-uat.aihw.gov.au/content/608109" TargetMode="External" Id="Rb944014373a4432b" /><Relationship Type="http://schemas.openxmlformats.org/officeDocument/2006/relationships/hyperlink" Target="https://meteor-uat.aihw.gov.au/content/291036" TargetMode="External" Id="R13890595d4314b62" /><Relationship Type="http://schemas.openxmlformats.org/officeDocument/2006/relationships/hyperlink" Target="https://meteor-uat.aihw.gov.au/content/609147" TargetMode="External" Id="R3459b56c3eed4deb" /><Relationship Type="http://schemas.openxmlformats.org/officeDocument/2006/relationships/hyperlink" Target="https://meteor-uat.aihw.gov.au/content/287316" TargetMode="External" Id="R518a36eea8b34fd5" /><Relationship Type="http://schemas.openxmlformats.org/officeDocument/2006/relationships/hyperlink" Target="https://meteor-uat.aihw.gov.au/content/607886" TargetMode="External" Id="R0a431c9dc31143f7" /><Relationship Type="http://schemas.openxmlformats.org/officeDocument/2006/relationships/hyperlink" Target="https://meteor-uat.aihw.gov.au/content/608082" TargetMode="External" Id="Rae67611a1a104728" /><Relationship Type="http://schemas.openxmlformats.org/officeDocument/2006/relationships/hyperlink" Target="https://meteor-uat.aihw.gov.au/content/605275" TargetMode="External" Id="R1f92451ecb5f40ee" /><Relationship Type="http://schemas.openxmlformats.org/officeDocument/2006/relationships/hyperlink" Target="https://meteor-uat.aihw.gov.au/content/662978" TargetMode="External" Id="Re1ccda2735434f52" /><Relationship Type="http://schemas.openxmlformats.org/officeDocument/2006/relationships/hyperlink" Target="https://meteor-uat.aihw.gov.au/content/607900" TargetMode="External" Id="Ra57403f095c244bb" /><Relationship Type="http://schemas.openxmlformats.org/officeDocument/2006/relationships/hyperlink" Target="https://meteor-uat.aihw.gov.au/content/595870" TargetMode="External" Id="Rf5c3a82df16d4a43" /><Relationship Type="http://schemas.openxmlformats.org/officeDocument/2006/relationships/hyperlink" Target="https://meteor-uat.aihw.gov.au/content/286919" TargetMode="External" Id="Rdc6cac8dc2474854" /><Relationship Type="http://schemas.openxmlformats.org/officeDocument/2006/relationships/hyperlink" Target="https://meteor-uat.aihw.gov.au/content/595887" TargetMode="External" Id="Rd2d4afec7c654fef" /><Relationship Type="http://schemas.openxmlformats.org/officeDocument/2006/relationships/hyperlink" Target="https://meteor-uat.aihw.gov.au/content/608085" TargetMode="External" Id="R9738a9094f744206" /><Relationship Type="http://schemas.openxmlformats.org/officeDocument/2006/relationships/hyperlink" Target="https://meteor-uat.aihw.gov.au/content/607886" TargetMode="External" Id="R7af9dd472c8b4e88" /><Relationship Type="http://schemas.openxmlformats.org/officeDocument/2006/relationships/hyperlink" Target="https://meteor-uat.aihw.gov.au/content/608082" TargetMode="External" Id="Rb6dad15efe3f40fe" /><Relationship Type="http://schemas.openxmlformats.org/officeDocument/2006/relationships/hyperlink" Target="https://meteor-uat.aihw.gov.au/content/605281" TargetMode="External" Id="R6f7eec321ecd4d58" /><Relationship Type="http://schemas.openxmlformats.org/officeDocument/2006/relationships/hyperlink" Target="https://meteor-uat.aihw.gov.au/content/662978" TargetMode="External" Id="Rb697c92ec63e48b3" /><Relationship Type="http://schemas.openxmlformats.org/officeDocument/2006/relationships/hyperlink" Target="https://meteor-uat.aihw.gov.au/content/607904" TargetMode="External" Id="Re34a5d41ce5f429b" /><Relationship Type="http://schemas.openxmlformats.org/officeDocument/2006/relationships/hyperlink" Target="https://meteor-uat.aihw.gov.au/content/607872" TargetMode="External" Id="R0861c50ab81649bd" /><Relationship Type="http://schemas.openxmlformats.org/officeDocument/2006/relationships/hyperlink" Target="https://meteor-uat.aihw.gov.au/content/607906" TargetMode="External" Id="Ra4c50f428d1648b3" /><Relationship Type="http://schemas.openxmlformats.org/officeDocument/2006/relationships/hyperlink" Target="https://meteor-uat.aihw.gov.au/content/608075" TargetMode="External" Id="R799ef41d88044149" /><Relationship Type="http://schemas.openxmlformats.org/officeDocument/2006/relationships/hyperlink" Target="https://meteor-uat.aihw.gov.au/content/605815" TargetMode="External" Id="Redcb7631a98742d7" /><Relationship Type="http://schemas.openxmlformats.org/officeDocument/2006/relationships/hyperlink" Target="https://meteor-uat.aihw.gov.au/content/608411" TargetMode="External" Id="Ra84502020f1147ce" /><Relationship Type="http://schemas.openxmlformats.org/officeDocument/2006/relationships/hyperlink" Target="https://meteor-uat.aihw.gov.au/content/607878" TargetMode="External" Id="Rc2a9c11d068449ff" /><Relationship Type="http://schemas.openxmlformats.org/officeDocument/2006/relationships/hyperlink" Target="https://meteor-uat.aihw.gov.au/content/607898" TargetMode="External" Id="R0ef6031c51ed4d8d" /></Relationships>
</file>

<file path=word/_rels/header1.xml.rels>&#65279;<?xml version="1.0" encoding="utf-8"?><Relationships xmlns="http://schemas.openxmlformats.org/package/2006/relationships"><Relationship Type="http://schemas.openxmlformats.org/officeDocument/2006/relationships/image" Target="/media/image.png" Id="R13010f7b180e442a" /></Relationships>
</file>