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2af0fca48848d4" /></Relationships>
</file>

<file path=word/document.xml><?xml version="1.0" encoding="utf-8"?>
<w:document xmlns:r="http://schemas.openxmlformats.org/officeDocument/2006/relationships" xmlns:w="http://schemas.openxmlformats.org/wordprocessingml/2006/main">
  <w:body>
    <w:p>
      <w:pPr>
        <w:pStyle w:val="Title"/>
      </w:pPr>
      <w:r>
        <w:t>Establishment—number of hospital patient days under Staphylococcus aureus bacteraemia surveillance, total days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hospital patient days under Staphylococcus aureus bacteraemia surveillance, total days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Hospital patient days under Staphylococcus aureus bacteraemia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Hospital patient days under SAB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1fcba2b7a142e3">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hospital patient days covered by </w:t>
            </w:r>
            <w:r>
              <w:rPr>
                <w:rStyle w:val="row-content-rich-text"/>
                <w:i/>
              </w:rPr>
              <w:t xml:space="preserve">Staphylococcus aureus </w:t>
            </w:r>
            <w:r>
              <w:rPr>
                <w:rStyle w:val="row-content-rich-text"/>
              </w:rPr>
              <w:t xml:space="preserve">bacteraemia surveillance arrangements, reported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4699a8dd314eaf">
              <w:r>
                <w:rPr>
                  <w:rStyle w:val="Hyperlink"/>
                </w:rPr>
                <w:t xml:space="preserve">Establishment—number of hospital patient days under Staphylococcus aureus bacteraemia surveillance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e3396e9a0041b5">
              <w:r>
                <w:rPr>
                  <w:rStyle w:val="Hyperlink"/>
                </w:rPr>
                <w:t xml:space="preserve">Total days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days under </w:t>
            </w:r>
            <w:r>
              <w:rPr>
                <w:rStyle w:val="row-content-rich-text"/>
                <w:i/>
              </w:rPr>
              <w:t xml:space="preserve">Staphylococcus aureus </w:t>
            </w:r>
            <w:r>
              <w:rPr>
                <w:rStyle w:val="row-content-rich-text"/>
              </w:rPr>
              <w:t xml:space="preserve">bacteraemia (SAB) surveillance should only reflect those beds covered by SAB</w:t>
            </w:r>
            <w:r>
              <w:rPr>
                <w:rStyle w:val="row-content-rich-text"/>
                <w:i/>
              </w:rPr>
              <w:t xml:space="preserve"> </w:t>
            </w:r>
            <w:r>
              <w:rPr>
                <w:rStyle w:val="row-content-rich-text"/>
              </w:rPr>
              <w:t xml:space="preserve">surveillance arrangements.</w:t>
            </w:r>
          </w:p>
          <w:p>
            <w:pPr>
              <w:spacing w:after="160"/>
            </w:pPr>
            <w:r>
              <w:rPr>
                <w:rStyle w:val="row-content-rich-text"/>
              </w:rPr>
              <w:t xml:space="preserve">If a hospital was not included in the SAB surveillance arrangements for part of the year, then the patient days for that part of the year are excluded. If part of the hospital was not included in the SAB surveillance arrangements (e.g. children's ward, psychiatric wards), then patient days for that part of the hospital are excluded. Patient days for non-acute hospitals (such as rehabilitation and psychiatric hospitals) are included if the hospital was included in the SAB surveillance arrangements.</w:t>
            </w:r>
          </w:p>
          <w:p>
            <w:pPr>
              <w:spacing w:after="160"/>
            </w:pPr>
            <w:r>
              <w:rPr>
                <w:rStyle w:val="row-content-rich-text"/>
              </w:rPr>
              <w:t xml:space="preserve">A day is measured from midnight to 2359 hours.</w:t>
            </w:r>
          </w:p>
          <w:p>
            <w:pPr>
              <w:spacing w:after="160"/>
            </w:pPr>
            <w:r>
              <w:rPr>
                <w:rStyle w:val="row-content-rich-text"/>
              </w:rPr>
              <w:t xml:space="preserve">Patient days for </w:t>
            </w:r>
            <w:hyperlink w:tooltip="Qualification status indicates whether the patient day within a newborn episode of care is either qualified or unqualified." w:history="true" r:id="Re021728b24a9415f">
              <w:r>
                <w:rPr>
                  <w:rStyle w:val="Hyperlink"/>
                  <w:b/>
                </w:rPr>
                <w:t xml:space="preserve">unqualified newborns</w:t>
              </w:r>
            </w:hyperlink>
            <w:r>
              <w:rPr>
                <w:rStyle w:val="row-content-rich-text"/>
              </w:rPr>
              <w:t xml:space="preserve">, </w:t>
            </w:r>
            <w:hyperlink w:tooltip="A person who is receiving food and/or accommodation but for whom the hospital does not accept responsibility for treatment and/or care." w:history="true" r:id="R55ce117acbab4e5d">
              <w:r>
                <w:rPr>
                  <w:rStyle w:val="Hyperlink"/>
                  <w:b/>
                </w:rPr>
                <w:t xml:space="preserve">hospital boarders, </w:t>
              </w:r>
            </w:hyperlink>
            <w:r>
              <w:rPr>
                <w:rStyle w:val="row-content-rich-text"/>
              </w:rPr>
              <w:t xml:space="preserve">and </w:t>
            </w:r>
            <w:hyperlink w:tooltip="An activity undertaken by hospitals in which human tissue is procured for the purpose of transplantation from a donor who has been declared brain dead." w:history="true" r:id="R31b46ed8bd974009">
              <w:r>
                <w:rPr>
                  <w:rStyle w:val="Hyperlink"/>
                  <w:b/>
                </w:rPr>
                <w:t xml:space="preserve">posthumous organ procurement</w:t>
              </w:r>
            </w:hyperlink>
            <w:r>
              <w:rPr>
                <w:rStyle w:val="row-content-rich-text"/>
              </w:rPr>
              <w:t xml:space="preserve"> are excluded.</w:t>
            </w:r>
          </w:p>
          <w:p>
            <w:pPr>
              <w:spacing w:after="160"/>
            </w:pPr>
            <w:r>
              <w:rPr>
                <w:rStyle w:val="row-content-rich-text"/>
              </w:rPr>
              <w:t xml:space="preserve">The following basic rules are used to calculate the number of patient days for </w:t>
            </w:r>
            <w:hyperlink w:tooltip="A patient who, following a clinical decision, receives hospital treatment for a minimum of one night, i.e. who is admitted to and separated from the hospital on different dates." w:history="true" r:id="R5e78cbeb19234238">
              <w:r>
                <w:rPr>
                  <w:rStyle w:val="Hyperlink"/>
                  <w:b/>
                </w:rPr>
                <w:t xml:space="preserve">overnight-stay patients</w:t>
              </w:r>
            </w:hyperlink>
            <w:r>
              <w:rPr>
                <w:rStyle w:val="row-content-rich-text"/>
              </w:rPr>
              <w:t xml:space="preserve">:</w:t>
            </w:r>
          </w:p>
          <w:p>
            <w:pPr>
              <w:pStyle w:val="ListParagraph"/>
              <w:numPr>
                <w:ilvl w:val="0"/>
                <w:numId w:val="2"/>
              </w:numPr>
            </w:pPr>
            <w:r>
              <w:rPr>
                <w:rStyle w:val="row-content-rich-text"/>
              </w:rPr>
              <w:t xml:space="preserve">the day the patient is admitted is a patient day</w:t>
            </w:r>
          </w:p>
          <w:p>
            <w:pPr>
              <w:pStyle w:val="ListParagraph"/>
              <w:numPr>
                <w:ilvl w:val="0"/>
                <w:numId w:val="2"/>
              </w:numPr>
            </w:pPr>
            <w:r>
              <w:rPr>
                <w:rStyle w:val="row-content-rich-text"/>
              </w:rPr>
              <w:t xml:space="preserve">if the patient remains in hospital from midnight to 2359 hours, count as a patient day</w:t>
            </w:r>
          </w:p>
          <w:p>
            <w:pPr>
              <w:pStyle w:val="ListParagraph"/>
              <w:numPr>
                <w:ilvl w:val="0"/>
                <w:numId w:val="2"/>
              </w:numPr>
            </w:pPr>
            <w:r>
              <w:rPr>
                <w:rStyle w:val="row-content-rich-text"/>
              </w:rPr>
              <w:t xml:space="preserve">the day a patient goes on leave is counted as a leave day</w:t>
            </w:r>
          </w:p>
          <w:p>
            <w:pPr>
              <w:pStyle w:val="ListParagraph"/>
              <w:numPr>
                <w:ilvl w:val="0"/>
                <w:numId w:val="2"/>
              </w:numPr>
            </w:pPr>
            <w:r>
              <w:rPr>
                <w:rStyle w:val="row-content-rich-text"/>
              </w:rPr>
              <w:t xml:space="preserve">if the patient is on leave from midnight to 2359 hours, count as a leave day</w:t>
            </w:r>
          </w:p>
          <w:p>
            <w:pPr>
              <w:pStyle w:val="ListParagraph"/>
              <w:numPr>
                <w:ilvl w:val="0"/>
                <w:numId w:val="2"/>
              </w:numPr>
            </w:pPr>
            <w:r>
              <w:rPr>
                <w:rStyle w:val="row-content-rich-text"/>
              </w:rPr>
              <w:t xml:space="preserve">the day the patient returns from leave is counted as a patient day</w:t>
            </w:r>
          </w:p>
          <w:p>
            <w:pPr>
              <w:pStyle w:val="ListParagraph"/>
              <w:numPr>
                <w:ilvl w:val="0"/>
                <w:numId w:val="2"/>
              </w:numPr>
            </w:pPr>
            <w:r>
              <w:rPr>
                <w:rStyle w:val="row-content-rich-text"/>
              </w:rPr>
              <w:t xml:space="preserve">the day the patient is separated is not counted as a patient day.</w:t>
            </w:r>
          </w:p>
          <w:p>
            <w:pPr>
              <w:spacing w:after="160"/>
            </w:pPr>
            <w:r>
              <w:rPr>
                <w:rStyle w:val="row-content-rich-text"/>
              </w:rPr>
              <w:t xml:space="preserve">The following additional rules cover special circumstances and in such cases, override the basic rules:</w:t>
            </w:r>
          </w:p>
          <w:p>
            <w:pPr>
              <w:pStyle w:val="ListParagraph"/>
              <w:numPr>
                <w:ilvl w:val="0"/>
                <w:numId w:val="3"/>
              </w:numPr>
            </w:pPr>
            <w:r>
              <w:rPr>
                <w:rStyle w:val="row-content-rich-text"/>
              </w:rPr>
              <w:t xml:space="preserve">patients admitted and separated on the same date (</w:t>
            </w:r>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0dbfe831f1b44a4a">
              <w:r>
                <w:rPr>
                  <w:rStyle w:val="Hyperlink"/>
                  <w:b/>
                </w:rPr>
                <w:t xml:space="preserve">same-day patients</w:t>
              </w:r>
            </w:hyperlink>
            <w:r>
              <w:rPr>
                <w:rStyle w:val="row-content-rich-text"/>
              </w:rPr>
              <w:t xml:space="preserve">) are to be given a count of one patient day</w:t>
            </w:r>
          </w:p>
          <w:p>
            <w:pPr>
              <w:pStyle w:val="ListParagraph"/>
              <w:numPr>
                <w:ilvl w:val="0"/>
                <w:numId w:val="3"/>
              </w:numPr>
            </w:pPr>
            <w:r>
              <w:rPr>
                <w:rStyle w:val="row-content-rich-text"/>
              </w:rPr>
              <w:t xml:space="preserve">if the patient is admitted and goes on leave on the same day, count as a patient day</w:t>
            </w:r>
          </w:p>
          <w:p>
            <w:pPr>
              <w:pStyle w:val="ListParagraph"/>
              <w:numPr>
                <w:ilvl w:val="0"/>
                <w:numId w:val="3"/>
              </w:numPr>
            </w:pPr>
            <w:r>
              <w:rPr>
                <w:rStyle w:val="row-content-rich-text"/>
              </w:rPr>
              <w:t xml:space="preserve">if the patient returns from leave and goes on leave on the same date, count as a leave day</w:t>
            </w:r>
          </w:p>
          <w:p>
            <w:pPr>
              <w:pStyle w:val="ListParagraph"/>
              <w:numPr>
                <w:ilvl w:val="0"/>
                <w:numId w:val="3"/>
              </w:numPr>
            </w:pPr>
            <w:r>
              <w:rPr>
                <w:rStyle w:val="row-content-rich-text"/>
              </w:rPr>
              <w:t xml:space="preserve">if the patient returns from leave and is separated, it is not counted as either a patient day or a leave day</w:t>
            </w:r>
          </w:p>
          <w:p>
            <w:pPr>
              <w:pStyle w:val="ListParagraph"/>
              <w:numPr>
                <w:ilvl w:val="0"/>
                <w:numId w:val="3"/>
              </w:numPr>
            </w:pPr>
            <w:r>
              <w:rPr>
                <w:rStyle w:val="row-content-rich-text"/>
              </w:rPr>
              <w:t xml:space="preserve">if a patient goes on leave the day they are admitted and does not return from leave until the day they are discharged, count as one patient day (the day of admission is counted as a patient day, the day of separation is not counted as a patient day).</w:t>
            </w:r>
          </w:p>
          <w:p>
            <w:pPr>
              <w:spacing w:after="160"/>
            </w:pPr>
            <w:r>
              <w:rPr>
                <w:rStyle w:val="row-content-rich-text"/>
              </w:rPr>
              <w:t xml:space="preserve">When calculating total patient days for a specified period:</w:t>
            </w:r>
          </w:p>
          <w:p>
            <w:pPr>
              <w:pStyle w:val="ListParagraph"/>
              <w:numPr>
                <w:ilvl w:val="0"/>
                <w:numId w:val="4"/>
              </w:numPr>
            </w:pPr>
            <w:r>
              <w:rPr>
                <w:rStyle w:val="row-content-rich-text"/>
              </w:rPr>
              <w:t xml:space="preserve">count the total patient days of those patients separated during the specified period, including those admitted before the specified period</w:t>
            </w:r>
          </w:p>
          <w:p>
            <w:pPr>
              <w:pStyle w:val="ListParagraph"/>
              <w:numPr>
                <w:ilvl w:val="0"/>
                <w:numId w:val="4"/>
              </w:numPr>
            </w:pPr>
            <w:r>
              <w:rPr>
                <w:rStyle w:val="row-content-rich-text"/>
              </w:rPr>
              <w:t xml:space="preserve">do not count the patient days of those patients admitted during the specified period who did not separate until the following reference period</w:t>
            </w:r>
          </w:p>
          <w:p>
            <w:pPr>
              <w:pStyle w:val="ListParagraph"/>
              <w:numPr>
                <w:ilvl w:val="0"/>
                <w:numId w:val="4"/>
              </w:numPr>
            </w:pPr>
            <w:r>
              <w:rPr>
                <w:rStyle w:val="row-content-rich-text"/>
              </w:rPr>
              <w:t xml:space="preserve">contract patient days are included in the count of total patient days. If it is a requirement to distinguish contract patient days from other patient days, they can be calculated by using the rules contained in the data element: total contract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SAB rates are presented per 10,000 patient days under SAB surveillance.</w:t>
            </w:r>
          </w:p>
          <w:p>
            <w:pPr/>
            <w:r>
              <w:rPr>
                <w:rStyle w:val="row-content-rich-text"/>
              </w:rPr>
              <w:t xml:space="preserve">SAB surveillance coverage is the number of patient days under SAB surveillance presented as a percentage of the number of patient 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7c3b49fa4b24597">
              <w:r>
                <w:rPr>
                  <w:rStyle w:val="Hyperlink"/>
                </w:rPr>
                <w:t xml:space="preserve">Establishment—number of hospital patient days under Staphylococcus aureus bloodstream infection surveillance, total days N[NNNNN]</w:t>
              </w:r>
            </w:hyperlink>
          </w:p>
          <w:p>
            <w:pPr>
              <w:pStyle w:val="registration-status"/>
              <w:spacing w:before="0" w:after="0"/>
            </w:pPr>
            <w:hyperlink w:history="true" r:id="Rff50a1611e2449aa">
              <w:r>
                <w:rPr>
                  <w:rStyle w:val="Hyperlink"/>
                  <w:color w:val="244061"/>
                </w:rPr>
                <w:t xml:space="preserve">Health!</w:t>
              </w:r>
            </w:hyperlink>
            <w:r>
              <w:rPr>
                <w:rStyle w:val="row-content"/>
                <w:color w:val="244061"/>
              </w:rPr>
              <w:t xml:space="preserve">, Qualified 16/03/2022</w:t>
            </w:r>
          </w:p>
          <w:p>
            <w:r>
              <w:br/>
            </w:r>
            <w:r>
              <w:rPr>
                <w:rStyle w:val="row-content"/>
              </w:rPr>
              <w:t xml:space="preserve">See also </w:t>
            </w:r>
            <w:hyperlink w:history="true" r:id="Rae38e4d3c13648d8">
              <w:r>
                <w:rPr>
                  <w:rStyle w:val="Hyperlink"/>
                </w:rPr>
                <w:t xml:space="preserve">Episode of admitted patient care</w:t>
              </w:r>
            </w:hyperlink>
          </w:p>
          <w:p>
            <w:pPr>
              <w:pStyle w:val="registration-status"/>
              <w:spacing w:before="0" w:after="0"/>
            </w:pPr>
            <w:hyperlink w:history="true" r:id="Re8b6e35cdddd4d00">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211eaada1c3b4f0e">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42b527ae5cef4374">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6e5afad98034f5f">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caa1fdc6848640da">
              <w:r>
                <w:rPr>
                  <w:rStyle w:val="Hyperlink"/>
                </w:rPr>
                <w:t xml:space="preserve">Establishment—number of hospital patient days including unqualified days for newborns, total N[N(7)]</w:t>
              </w:r>
            </w:hyperlink>
          </w:p>
          <w:p>
            <w:pPr>
              <w:pStyle w:val="registration-status"/>
              <w:spacing w:before="0" w:after="0"/>
            </w:pPr>
            <w:hyperlink w:history="true" r:id="R0c6a9d9f814c4659">
              <w:r>
                <w:rPr>
                  <w:rStyle w:val="Hyperlink"/>
                  <w:color w:val="244061"/>
                </w:rPr>
                <w:t xml:space="preserve">Health!</w:t>
              </w:r>
            </w:hyperlink>
            <w:r>
              <w:rPr>
                <w:rStyle w:val="row-content"/>
                <w:color w:val="244061"/>
              </w:rPr>
              <w:t xml:space="preserve">, Recorded 27/08/2014</w:t>
            </w:r>
          </w:p>
          <w:p>
            <w:r>
              <w:br/>
            </w:r>
            <w:r>
              <w:rPr>
                <w:rStyle w:val="row-content"/>
              </w:rPr>
              <w:t xml:space="preserve">See also </w:t>
            </w:r>
            <w:hyperlink w:history="true" r:id="R67fd0c33968d4897">
              <w:r>
                <w:rPr>
                  <w:rStyle w:val="Hyperlink"/>
                </w:rPr>
                <w:t xml:space="preserve">Establishment—number of patient days, total N[N(7)]</w:t>
              </w:r>
            </w:hyperlink>
          </w:p>
          <w:p>
            <w:pPr>
              <w:pStyle w:val="registration-status"/>
              <w:spacing w:before="0" w:after="0"/>
            </w:pPr>
            <w:hyperlink w:history="true" r:id="Rc8814551af884216">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15fce9d5829945fe">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e3d5a49e23ae4976">
              <w:r>
                <w:rPr>
                  <w:rStyle w:val="Hyperlink"/>
                </w:rPr>
                <w:t xml:space="preserve">Non-admitted patient</w:t>
              </w:r>
            </w:hyperlink>
          </w:p>
          <w:p>
            <w:pPr>
              <w:pStyle w:val="registration-status"/>
              <w:spacing w:before="0" w:after="0"/>
            </w:pPr>
            <w:hyperlink w:history="true" r:id="R81ab8a854ab7499a">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47e2b1a76b4781">
              <w:r>
                <w:rPr>
                  <w:rStyle w:val="Hyperlink"/>
                </w:rPr>
                <w:t xml:space="preserve">Healthcare-associated infections NBEDS 2016-2021</w:t>
              </w:r>
            </w:hyperlink>
          </w:p>
          <w:p>
            <w:pPr>
              <w:pStyle w:val="registration-status"/>
              <w:spacing w:before="0" w:after="0"/>
            </w:pPr>
            <w:hyperlink w:history="true" r:id="Rd15c46a5d0a2493b">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01/07/2016</w:t>
            </w:r>
            <w:r>
              <w:br/>
            </w:r>
            <w:r>
              <w:rPr>
                <w:rStyle w:val="row-content"/>
                <w:b/>
                <w:i/>
              </w:rPr>
              <w:t xml:space="preserve">Conditional obligation: </w:t>
            </w:r>
          </w:p>
          <w:p>
            <w:r>
              <w:rPr>
                <w:rStyle w:val="row-content"/>
              </w:rPr>
              <w:t xml:space="preserve">Reporting of this data element is conditional on a 'Yes' response to the </w:t>
            </w:r>
            <w:hyperlink w:history="true" r:id="R3486ae1d23f74e4a">
              <w:r>
                <w:rPr>
                  <w:rStyle w:val="Hyperlink"/>
                </w:rPr>
                <w:t xml:space="preserve">Establishment—</w:t>
              </w:r>
              <w:r>
                <w:rPr>
                  <w:rStyle w:val="row-content"/>
                  <w:i/>
                </w:rPr>
                <w:t xml:space="preserve">Staphylococcus aureus </w:t>
              </w:r>
              <w:r>
                <w:rPr>
                  <w:rStyle w:val="row-content"/>
                </w:rPr>
                <w:t xml:space="preserve">bacteraemia surveillance indicator, yes/no code N</w:t>
              </w:r>
            </w:hyperlink>
            <w:r>
              <w:rPr>
                <w:rStyle w:val="row-content"/>
              </w:rPr>
              <w:t xml:space="preserve"> data element.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0d8fc102434b48cc">
              <w:r>
                <w:rPr>
                  <w:rStyle w:val="Hyperlink"/>
                </w:rPr>
                <w:t xml:space="preserve">Australian Health Performance Framework: PI 2.2.2–Healthcare-associated Staphylococcus aureus bloodstream infections, 2019</w:t>
              </w:r>
            </w:hyperlink>
          </w:p>
          <w:p>
            <w:pPr>
              <w:pStyle w:val="registration-status"/>
              <w:spacing w:before="0" w:after="0"/>
            </w:pPr>
            <w:hyperlink w:history="true" r:id="Rac44baa5d6304c92">
              <w:r>
                <w:rPr>
                  <w:rStyle w:val="Hyperlink"/>
                  <w:color w:val="244061"/>
                </w:rPr>
                <w:t xml:space="preserve">Health!</w:t>
              </w:r>
            </w:hyperlink>
            <w:r>
              <w:rPr>
                <w:rStyle w:val="row-content"/>
                <w:color w:val="244061"/>
              </w:rPr>
              <w:t xml:space="preserve">, Standard 09/04/2020</w:t>
            </w:r>
          </w:p>
          <w:p>
            <w:r>
              <w:br/>
            </w:r>
            <w:hyperlink w:history="true" r:id="Rd6a9d848656e48f8">
              <w:r>
                <w:rPr>
                  <w:rStyle w:val="Hyperlink"/>
                </w:rPr>
                <w:t xml:space="preserve">Australian Health Performance Framework: PI 2.2.2–Healthcare-associated Staphylococcus aureus bloodstream infections, 2020</w:t>
              </w:r>
            </w:hyperlink>
          </w:p>
          <w:p>
            <w:pPr>
              <w:pStyle w:val="registration-status"/>
              <w:spacing w:before="0" w:after="0"/>
            </w:pPr>
            <w:hyperlink w:history="true" r:id="R9c0497743ab04938">
              <w:r>
                <w:rPr>
                  <w:rStyle w:val="Hyperlink"/>
                  <w:color w:val="244061"/>
                </w:rPr>
                <w:t xml:space="preserve">Health!</w:t>
              </w:r>
            </w:hyperlink>
            <w:r>
              <w:rPr>
                <w:rStyle w:val="row-content"/>
                <w:color w:val="244061"/>
              </w:rPr>
              <w:t xml:space="preserve">, Standard 13/10/2021</w:t>
            </w:r>
          </w:p>
          <w:p>
            <w:r>
              <w:br/>
            </w:r>
            <w:hyperlink w:history="true" r:id="Rca44b815f46e40bd">
              <w:r>
                <w:rPr>
                  <w:rStyle w:val="Hyperlink"/>
                </w:rPr>
                <w:t xml:space="preserve">National Healthcare Agreement: PI 22–Healthcare associated infections: Staphylococcus aureus bacteraemia, 2018</w:t>
              </w:r>
            </w:hyperlink>
          </w:p>
          <w:p>
            <w:pPr>
              <w:pStyle w:val="registration-status"/>
              <w:spacing w:before="0" w:after="0"/>
            </w:pPr>
            <w:hyperlink w:history="true" r:id="R4e1ecbce88ee4c6e">
              <w:r>
                <w:rPr>
                  <w:rStyle w:val="Hyperlink"/>
                  <w:color w:val="244061"/>
                </w:rPr>
                <w:t xml:space="preserve">Health!</w:t>
              </w:r>
            </w:hyperlink>
            <w:r>
              <w:rPr>
                <w:rStyle w:val="row-content"/>
                <w:color w:val="244061"/>
              </w:rPr>
              <w:t xml:space="preserve">, Superseded 19/06/2019</w:t>
            </w:r>
          </w:p>
          <w:p>
            <w:r>
              <w:br/>
            </w:r>
            <w:hyperlink w:history="true" r:id="Rd10c9d2554be44e1">
              <w:r>
                <w:rPr>
                  <w:rStyle w:val="Hyperlink"/>
                </w:rPr>
                <w:t xml:space="preserve">National Healthcare Agreement: PI 22–Healthcare associated infections: Staphylococcus aureus bacteraemia, 2019</w:t>
              </w:r>
            </w:hyperlink>
          </w:p>
          <w:p>
            <w:pPr>
              <w:pStyle w:val="registration-status"/>
              <w:spacing w:before="0" w:after="0"/>
            </w:pPr>
            <w:hyperlink w:history="true" r:id="R7515d4dddf2540a4">
              <w:r>
                <w:rPr>
                  <w:rStyle w:val="Hyperlink"/>
                  <w:color w:val="244061"/>
                </w:rPr>
                <w:t xml:space="preserve">Health!</w:t>
              </w:r>
            </w:hyperlink>
            <w:r>
              <w:rPr>
                <w:rStyle w:val="row-content"/>
                <w:color w:val="244061"/>
              </w:rPr>
              <w:t xml:space="preserve">, Superseded 13/03/2020</w:t>
            </w:r>
          </w:p>
          <w:p>
            <w:r>
              <w:br/>
            </w:r>
            <w:hyperlink w:history="true" r:id="R836dd77832b74c13">
              <w:r>
                <w:rPr>
                  <w:rStyle w:val="Hyperlink"/>
                </w:rPr>
                <w:t xml:space="preserve">National Healthcare Agreement: PI 22–Healthcare associated infections: Staphylococcus aureus bacteraemia, 2020</w:t>
              </w:r>
            </w:hyperlink>
          </w:p>
          <w:p>
            <w:pPr>
              <w:pStyle w:val="registration-status"/>
              <w:spacing w:before="0" w:after="0"/>
            </w:pPr>
            <w:hyperlink w:history="true" r:id="Rac6a106340d44e1f">
              <w:r>
                <w:rPr>
                  <w:rStyle w:val="Hyperlink"/>
                  <w:color w:val="244061"/>
                </w:rPr>
                <w:t xml:space="preserve">Health!</w:t>
              </w:r>
            </w:hyperlink>
            <w:r>
              <w:rPr>
                <w:rStyle w:val="row-content"/>
                <w:color w:val="244061"/>
              </w:rPr>
              <w:t xml:space="preserve">, Standard 13/03/2020</w:t>
            </w:r>
          </w:p>
          <w:p>
            <w:r>
              <w:br/>
            </w:r>
            <w:hyperlink w:history="true" r:id="Rc01ff0efb25f48b8">
              <w:r>
                <w:rPr>
                  <w:rStyle w:val="Hyperlink"/>
                </w:rPr>
                <w:t xml:space="preserve">National Healthcare Agreement: PI 22–Healthcare associated infections: Staphylococcus aureus bacteraemia, 2021</w:t>
              </w:r>
            </w:hyperlink>
          </w:p>
          <w:p>
            <w:pPr>
              <w:pStyle w:val="registration-status"/>
              <w:spacing w:before="0" w:after="0"/>
            </w:pPr>
            <w:hyperlink w:history="true" r:id="R8ae8645c9046416d">
              <w:r>
                <w:rPr>
                  <w:rStyle w:val="Hyperlink"/>
                  <w:color w:val="244061"/>
                </w:rPr>
                <w:t xml:space="preserve">Health!</w:t>
              </w:r>
            </w:hyperlink>
            <w:r>
              <w:rPr>
                <w:rStyle w:val="row-content"/>
                <w:color w:val="244061"/>
              </w:rPr>
              <w:t xml:space="preserve">, Standard 16/09/2020</w:t>
            </w:r>
          </w:p>
          <w:p>
            <w:r>
              <w:br/>
            </w:r>
            <w:hyperlink w:history="true" r:id="Rba39dfeb63fa4f5f">
              <w:r>
                <w:rPr>
                  <w:rStyle w:val="Hyperlink"/>
                </w:rPr>
                <w:t xml:space="preserve">National Healthcare Agreement: PI 22–Healthcare associated infections: Staphylococcus aureus bacteraemia, 2022</w:t>
              </w:r>
            </w:hyperlink>
          </w:p>
          <w:p>
            <w:pPr>
              <w:pStyle w:val="registration-status"/>
              <w:spacing w:before="0" w:after="0"/>
            </w:pPr>
            <w:hyperlink w:history="true" r:id="Rc45a06f8fb224418">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f9705533f33549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35b050a6d040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705533f33549e8" /><Relationship Type="http://schemas.openxmlformats.org/officeDocument/2006/relationships/header" Target="/word/header1.xml" Id="Rc52758816075495b" /><Relationship Type="http://schemas.openxmlformats.org/officeDocument/2006/relationships/settings" Target="/word/settings.xml" Id="R74fe77ca10014c2f" /><Relationship Type="http://schemas.openxmlformats.org/officeDocument/2006/relationships/styles" Target="/word/styles.xml" Id="R2b4a770576964ae5" /><Relationship Type="http://schemas.openxmlformats.org/officeDocument/2006/relationships/numbering" Target="/word/numbering.xml" Id="Rea77df48729144a8" /><Relationship Type="http://schemas.openxmlformats.org/officeDocument/2006/relationships/hyperlink" Target="https://meteor-uat.aihw.gov.au/RegistrationAuthority/14" TargetMode="External" Id="Re81fcba2b7a142e3" /><Relationship Type="http://schemas.openxmlformats.org/officeDocument/2006/relationships/hyperlink" Target="https://meteor-uat.aihw.gov.au/content/585111" TargetMode="External" Id="Rfa4699a8dd314eaf" /><Relationship Type="http://schemas.openxmlformats.org/officeDocument/2006/relationships/hyperlink" Target="https://meteor-uat.aihw.gov.au/content/589620" TargetMode="External" Id="R4de3396e9a0041b5" /><Relationship Type="http://schemas.openxmlformats.org/officeDocument/2006/relationships/hyperlink" Target="https://meteor-uat.aihw.gov.au/content/327254" TargetMode="External" Id="Re021728b24a9415f" /><Relationship Type="http://schemas.openxmlformats.org/officeDocument/2006/relationships/hyperlink" Target="https://meteor-uat.aihw.gov.au/content/327242" TargetMode="External" Id="R55ce117acbab4e5d" /><Relationship Type="http://schemas.openxmlformats.org/officeDocument/2006/relationships/hyperlink" Target="https://meteor-uat.aihw.gov.au/content/327258" TargetMode="External" Id="R31b46ed8bd974009" /><Relationship Type="http://schemas.openxmlformats.org/officeDocument/2006/relationships/hyperlink" Target="https://meteor-uat.aihw.gov.au/content/327256" TargetMode="External" Id="R5e78cbeb19234238" /><Relationship Type="http://schemas.openxmlformats.org/officeDocument/2006/relationships/hyperlink" Target="https://meteor-uat.aihw.gov.au/content/327270" TargetMode="External" Id="R0dbfe831f1b44a4a" /><Relationship Type="http://schemas.openxmlformats.org/officeDocument/2006/relationships/hyperlink" Target="https://meteor-uat.aihw.gov.au/content/754302" TargetMode="External" Id="Rd7c3b49fa4b24597" /><Relationship Type="http://schemas.openxmlformats.org/officeDocument/2006/relationships/hyperlink" Target="https://meteor-uat.aihw.gov.au/RegistrationAuthority/14" TargetMode="External" Id="Rff50a1611e2449aa" /><Relationship Type="http://schemas.openxmlformats.org/officeDocument/2006/relationships/hyperlink" Target="https://meteor-uat.aihw.gov.au/content/268956" TargetMode="External" Id="Rae38e4d3c13648d8" /><Relationship Type="http://schemas.openxmlformats.org/officeDocument/2006/relationships/hyperlink" Target="https://meteor-uat.aihw.gov.au/RegistrationAuthority/14" TargetMode="External" Id="Re8b6e35cdddd4d00" /><Relationship Type="http://schemas.openxmlformats.org/officeDocument/2006/relationships/hyperlink" Target="https://meteor-uat.aihw.gov.au/RegistrationAuthority/6" TargetMode="External" Id="R211eaada1c3b4f0e" /><Relationship Type="http://schemas.openxmlformats.org/officeDocument/2006/relationships/hyperlink" Target="https://meteor-uat.aihw.gov.au/RegistrationAuthority/10" TargetMode="External" Id="R42b527ae5cef4374" /><Relationship Type="http://schemas.openxmlformats.org/officeDocument/2006/relationships/hyperlink" Target="https://meteor-uat.aihw.gov.au/RegistrationAuthority/17" TargetMode="External" Id="Rd6e5afad98034f5f" /><Relationship Type="http://schemas.openxmlformats.org/officeDocument/2006/relationships/hyperlink" Target="https://meteor-uat.aihw.gov.au/content/585098" TargetMode="External" Id="Rcaa1fdc6848640da" /><Relationship Type="http://schemas.openxmlformats.org/officeDocument/2006/relationships/hyperlink" Target="https://meteor-uat.aihw.gov.au/RegistrationAuthority/14" TargetMode="External" Id="R0c6a9d9f814c4659" /><Relationship Type="http://schemas.openxmlformats.org/officeDocument/2006/relationships/hyperlink" Target="https://meteor-uat.aihw.gov.au/content/270045" TargetMode="External" Id="R67fd0c33968d4897" /><Relationship Type="http://schemas.openxmlformats.org/officeDocument/2006/relationships/hyperlink" Target="https://meteor-uat.aihw.gov.au/RegistrationAuthority/14" TargetMode="External" Id="Rc8814551af884216" /><Relationship Type="http://schemas.openxmlformats.org/officeDocument/2006/relationships/hyperlink" Target="https://meteor-uat.aihw.gov.au/RegistrationAuthority/10" TargetMode="External" Id="R15fce9d5829945fe" /><Relationship Type="http://schemas.openxmlformats.org/officeDocument/2006/relationships/hyperlink" Target="https://meteor-uat.aihw.gov.au/content/268973" TargetMode="External" Id="Re3d5a49e23ae4976" /><Relationship Type="http://schemas.openxmlformats.org/officeDocument/2006/relationships/hyperlink" Target="https://meteor-uat.aihw.gov.au/RegistrationAuthority/14" TargetMode="External" Id="R81ab8a854ab7499a" /><Relationship Type="http://schemas.openxmlformats.org/officeDocument/2006/relationships/hyperlink" Target="https://meteor-uat.aihw.gov.au/content/577789" TargetMode="External" Id="Rf847e2b1a76b4781" /><Relationship Type="http://schemas.openxmlformats.org/officeDocument/2006/relationships/hyperlink" Target="https://meteor-uat.aihw.gov.au/RegistrationAuthority/14" TargetMode="External" Id="Rd15c46a5d0a2493b" /><Relationship Type="http://schemas.openxmlformats.org/officeDocument/2006/relationships/hyperlink" Target="https://meteor-uat.aihw.gov.au/content/585386" TargetMode="External" Id="R3486ae1d23f74e4a" /><Relationship Type="http://schemas.openxmlformats.org/officeDocument/2006/relationships/hyperlink" Target="https://meteor-uat.aihw.gov.au/content/716034" TargetMode="External" Id="R0d8fc102434b48cc" /><Relationship Type="http://schemas.openxmlformats.org/officeDocument/2006/relationships/hyperlink" Target="https://meteor-uat.aihw.gov.au/RegistrationAuthority/14" TargetMode="External" Id="Rac44baa5d6304c92" /><Relationship Type="http://schemas.openxmlformats.org/officeDocument/2006/relationships/hyperlink" Target="https://meteor-uat.aihw.gov.au/content/728341" TargetMode="External" Id="Rd6a9d848656e48f8" /><Relationship Type="http://schemas.openxmlformats.org/officeDocument/2006/relationships/hyperlink" Target="https://meteor-uat.aihw.gov.au/RegistrationAuthority/14" TargetMode="External" Id="R9c0497743ab04938" /><Relationship Type="http://schemas.openxmlformats.org/officeDocument/2006/relationships/hyperlink" Target="https://meteor-uat.aihw.gov.au/content/658487" TargetMode="External" Id="Rca44b815f46e40bd" /><Relationship Type="http://schemas.openxmlformats.org/officeDocument/2006/relationships/hyperlink" Target="https://meteor-uat.aihw.gov.au/RegistrationAuthority/14" TargetMode="External" Id="R4e1ecbce88ee4c6e" /><Relationship Type="http://schemas.openxmlformats.org/officeDocument/2006/relationships/hyperlink" Target="https://meteor-uat.aihw.gov.au/content/698892" TargetMode="External" Id="Rd10c9d2554be44e1" /><Relationship Type="http://schemas.openxmlformats.org/officeDocument/2006/relationships/hyperlink" Target="https://meteor-uat.aihw.gov.au/RegistrationAuthority/14" TargetMode="External" Id="R7515d4dddf2540a4" /><Relationship Type="http://schemas.openxmlformats.org/officeDocument/2006/relationships/hyperlink" Target="https://meteor-uat.aihw.gov.au/content/716702" TargetMode="External" Id="R836dd77832b74c13" /><Relationship Type="http://schemas.openxmlformats.org/officeDocument/2006/relationships/hyperlink" Target="https://meteor-uat.aihw.gov.au/RegistrationAuthority/14" TargetMode="External" Id="Rac6a106340d44e1f" /><Relationship Type="http://schemas.openxmlformats.org/officeDocument/2006/relationships/hyperlink" Target="https://meteor-uat.aihw.gov.au/content/725781" TargetMode="External" Id="Rc01ff0efb25f48b8" /><Relationship Type="http://schemas.openxmlformats.org/officeDocument/2006/relationships/hyperlink" Target="https://meteor-uat.aihw.gov.au/RegistrationAuthority/14" TargetMode="External" Id="R8ae8645c9046416d" /><Relationship Type="http://schemas.openxmlformats.org/officeDocument/2006/relationships/hyperlink" Target="https://meteor-uat.aihw.gov.au/content/740834" TargetMode="External" Id="Rba39dfeb63fa4f5f" /><Relationship Type="http://schemas.openxmlformats.org/officeDocument/2006/relationships/hyperlink" Target="https://meteor-uat.aihw.gov.au/RegistrationAuthority/14" TargetMode="External" Id="Rc45a06f8fb224418" /></Relationships>
</file>

<file path=word/_rels/header1.xml.rels>&#65279;<?xml version="1.0" encoding="utf-8"?><Relationships xmlns="http://schemas.openxmlformats.org/package/2006/relationships"><Relationship Type="http://schemas.openxmlformats.org/officeDocument/2006/relationships/image" Target="/media/image.png" Id="Ra435b050a6d040bf" /></Relationships>
</file>