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7dcb5358ed4c8c"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12 – Rate of post-discharge community care,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12 – Rate of post-discharge community care,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12: Rate of post-discharge community care,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ff7e850ded4248">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separations from the mental health service organisation’s acute psychiatric inpatient unit(s) for which a community mental health service contact, in which the consumer participated, was recorded in the seven days following that separation.</w:t>
            </w:r>
          </w:p>
          <w:p>
            <w:pPr/>
            <w:r>
              <w:rPr>
                <w:rStyle w:val="row-content-rich-text"/>
                <w:b/>
              </w:rPr>
              <w:t xml:space="preserve">NOTE:</w:t>
            </w:r>
            <w:r>
              <w:rPr>
                <w:rStyle w:val="row-content-rich-text"/>
              </w:rPr>
              <w:t xml:space="preserve"> This indicator is related to MHS PI 12J: Rate of post-discharge community care (Jurisdictional level version).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responsive community support system for persons who have experienced an acute psychiatric episode requiring hospitalisation is essential to maintain clinical and functional stability and to minimise the need for hospital readmission.</w:t>
            </w:r>
          </w:p>
          <w:p>
            <w:pPr>
              <w:pStyle w:val="ListParagraph"/>
              <w:numPr>
                <w:ilvl w:val="0"/>
                <w:numId w:val="2"/>
              </w:numPr>
            </w:pPr>
            <w:r>
              <w:rPr>
                <w:rStyle w:val="row-content-rich-text"/>
              </w:rPr>
              <w:t xml:space="preserve">Consumers leaving hospital after a psychiatric admission with a formal discharge plan, involving linkages with community services and supports, are less likely to need early readmission.</w:t>
            </w:r>
          </w:p>
          <w:p>
            <w:pPr>
              <w:pStyle w:val="ListParagraph"/>
              <w:numPr>
                <w:ilvl w:val="0"/>
                <w:numId w:val="2"/>
              </w:numPr>
            </w:pPr>
            <w:r>
              <w:rPr>
                <w:rStyle w:val="row-content-rich-text"/>
              </w:rPr>
              <w:t xml:space="preserve">Research indicates that consumers have increased vulnerability immediately following discharge, including higher risk for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a01f6a25dfa4508">
              <w:r>
                <w:rPr>
                  <w:rStyle w:val="Hyperlink"/>
                </w:rPr>
                <w:t xml:space="preserve">Key Performance Indicators for Australian Public Mental Health Services (Service level version) (2015–)</w:t>
              </w:r>
            </w:hyperlink>
          </w:p>
          <w:p>
            <w:pPr>
              <w:pStyle w:val="registration-status"/>
              <w:spacing w:before="0" w:after="0"/>
            </w:pPr>
            <w:hyperlink w:history="true" r:id="R807dc0cf55684fbe">
              <w:r>
                <w:rPr>
                  <w:rStyle w:val="Hyperlink"/>
                  <w:color w:val="244061"/>
                </w:rPr>
                <w:t xml:space="preserve">Health!</w:t>
              </w:r>
            </w:hyperlink>
            <w:r>
              <w:rPr>
                <w:rStyle w:val="row-content"/>
                <w:color w:val="244061"/>
              </w:rPr>
              <w:t xml:space="preserve">, Superseded 16/02/2021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 The following separations are excluded:</w:t>
            </w:r>
          </w:p>
          <w:p>
            <w:pPr>
              <w:pStyle w:val="ListParagraph"/>
              <w:numPr>
                <w:ilvl w:val="0"/>
                <w:numId w:val="3"/>
              </w:numPr>
            </w:pPr>
            <w:r>
              <w:rPr>
                <w:rStyle w:val="row-content-rich-text"/>
              </w:rPr>
              <w:t xml:space="preserve">Same 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hospital;</w:t>
            </w:r>
          </w:p>
          <w:p>
            <w:pPr>
              <w:pStyle w:val="ListParagraph"/>
              <w:numPr>
                <w:ilvl w:val="0"/>
                <w:numId w:val="3"/>
              </w:numPr>
            </w:pPr>
            <w:r>
              <w:rPr>
                <w:rStyle w:val="row-content-rich-text"/>
              </w:rPr>
              <w:t xml:space="preserve">Separations that end by death, left against medical advice/discharge at own risk;</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service contacts are excluded:</w:t>
            </w:r>
          </w:p>
          <w:p>
            <w:pPr>
              <w:pStyle w:val="ListParagraph"/>
              <w:numPr>
                <w:ilvl w:val="0"/>
                <w:numId w:val="4"/>
              </w:numPr>
            </w:pPr>
            <w:r>
              <w:rPr>
                <w:rStyle w:val="row-content-rich-text"/>
              </w:rPr>
              <w:t xml:space="preserve">Community service contacts on day of separation;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Methodology:</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admitted patient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One of the following ECT procedure codes are recorded:</w:t>
            </w:r>
            <w:r>
              <w:br/>
            </w:r>
            <w:r>
              <w:rPr>
                <w:rStyle w:val="row-content-rich-text"/>
              </w:rPr>
              <w:t xml:space="preserve">        • ACHI 5th edition (2006–2008) use ICD-10 procedure codes 93340-02 and 93340-43.</w:t>
            </w:r>
            <w:r>
              <w:br/>
            </w:r>
            <w:r>
              <w:rPr>
                <w:rStyle w:val="row-content-rich-text"/>
              </w:rPr>
              <w:t xml:space="preserve">        • ACHI 6th and 7th editions (2008 to current) use ICD-10 procedure codes 93341-00 to 93341-99.</w:t>
            </w:r>
            <w:r>
              <w:br/>
            </w:r>
            <w:r>
              <w:rPr>
                <w:rStyle w:val="row-content-rich-text"/>
              </w:rPr>
              <w:t xml:space="preserve">        • ACHI 5th, 6th and 7th editions (2006 to current) ECT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public sector community mental health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cf5dd76df72452f">
              <w:r>
                <w:rPr>
                  <w:rStyle w:val="Hyperlink"/>
                </w:rPr>
                <w:t xml:space="preserve">Continuous</w:t>
              </w:r>
            </w:hyperlink>
            <w:r>
              <w:br/>
            </w:r>
            <w:r>
              <w:br/>
            </w:r>
            <w:hyperlink w:history="true" r:id="R894b679f0abc45a7">
              <w:r>
                <w:rPr>
                  <w:rStyle w:val="Hyperlink"/>
                </w:rPr>
                <w:t xml:space="preserve">Accessible</w:t>
              </w:r>
            </w:hyperlink>
            <w:r>
              <w:br/>
            </w:r>
            <w:r>
              <w:br/>
            </w:r>
          </w:p>
          <w:p>
            <w:hyperlink w:history="true" r:id="Rbdde01dfab87471f">
              <w:r>
                <w:rPr>
                  <w:rStyle w:val="Hyperlink"/>
                </w:rPr>
                <w:t xml:space="preserve">Safe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and Community Mental Health Care National Minimum Data Sets because they do not share a common unique identifier to allow persons admitted into hospital to be tracked in the community services data. Additionally, states and territories vary in the extent to which state-wide unique identifiers are in place to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r>
              <w:rPr>
                <w:rStyle w:val="row-content-rich-text"/>
              </w:rPr>
              <w:t xml:space="preserve">Development of a system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discharges the consumer from hospital care. Access to state-wide data is required to construct this indicator accurately.</w:t>
            </w:r>
          </w:p>
          <w:p>
            <w:pPr>
              <w:pStyle w:val="ListParagraph"/>
              <w:numPr>
                <w:ilvl w:val="0"/>
                <w:numId w:val="7"/>
              </w:numPr>
            </w:pPr>
            <w:r>
              <w:rPr>
                <w:rStyle w:val="row-content-rich-text"/>
              </w:rPr>
              <w:t xml:space="preserve">When reported at an individual service or catchment level, interpretation of this indicator needs to consider that catchment areas for inpatient and ambulatory services may differ. Ideally services should implement processes to ensure a shared responsibility for following up with consumers who reside out of area.</w:t>
            </w:r>
          </w:p>
          <w:p>
            <w:pPr>
              <w:pStyle w:val="ListParagraph"/>
              <w:numPr>
                <w:ilvl w:val="0"/>
                <w:numId w:val="7"/>
              </w:numPr>
            </w:pPr>
            <w:r>
              <w:rPr>
                <w:rStyle w:val="row-content-rich-text"/>
              </w:rPr>
              <w:t xml:space="preserve">This measure does not consider variations in intensity or frequency of service contacts following discharge from hospital.</w:t>
            </w:r>
          </w:p>
          <w:p>
            <w:pPr>
              <w:pStyle w:val="ListParagraph"/>
              <w:numPr>
                <w:ilvl w:val="0"/>
                <w:numId w:val="7"/>
              </w:numPr>
            </w:pPr>
            <w:r>
              <w:rPr>
                <w:rStyle w:val="row-content-rich-text"/>
              </w:rPr>
              <w:t xml:space="preserve">This measure does not distinguish qualitative differences between phone and face-to-face community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a42b8607fa4b1c">
              <w:r>
                <w:rPr>
                  <w:rStyle w:val="Hyperlink"/>
                </w:rPr>
                <w:t xml:space="preserve">KPIs for Australian Public Mental Health Services: PI 12 – Post-discharge community mental health care, 2018 (Service level)</w:t>
              </w:r>
            </w:hyperlink>
          </w:p>
          <w:p>
            <w:pPr>
              <w:pStyle w:val="registration-status"/>
              <w:spacing w:before="0" w:after="0"/>
            </w:pPr>
            <w:hyperlink w:history="true" r:id="R1cade08989704b1f">
              <w:r>
                <w:rPr>
                  <w:rStyle w:val="Hyperlink"/>
                  <w:color w:val="244061"/>
                </w:rPr>
                <w:t xml:space="preserve">Health!</w:t>
              </w:r>
            </w:hyperlink>
            <w:r>
              <w:rPr>
                <w:rStyle w:val="row-content"/>
                <w:color w:val="244061"/>
              </w:rPr>
              <w:t xml:space="preserve">, Superseded 16/02/2021</w:t>
            </w:r>
          </w:p>
          <w:p>
            <w:r>
              <w:br/>
            </w:r>
          </w:p>
        </w:tc>
      </w:tr>
    </w:tbl>
    <w:p>
      <w:r>
        <w:br/>
      </w:r>
    </w:p>
    <w:sectPr>
      <w:footerReference xmlns:r="http://schemas.openxmlformats.org/officeDocument/2006/relationships" w:type="default" r:id="R5729c0b271da48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584238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08bc52a3e442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29c0b271da48e0" /><Relationship Type="http://schemas.openxmlformats.org/officeDocument/2006/relationships/header" Target="/word/header1.xml" Id="R06e14ee9289640c7" /><Relationship Type="http://schemas.openxmlformats.org/officeDocument/2006/relationships/settings" Target="/word/settings.xml" Id="R32ebc47eb371480e" /><Relationship Type="http://schemas.openxmlformats.org/officeDocument/2006/relationships/styles" Target="/word/styles.xml" Id="Rbb58f26f3e7a4a6b" /><Relationship Type="http://schemas.openxmlformats.org/officeDocument/2006/relationships/numbering" Target="/word/numbering.xml" Id="R3108f0103ecb4235" /><Relationship Type="http://schemas.openxmlformats.org/officeDocument/2006/relationships/hyperlink" Target="https://meteor-uat.aihw.gov.au/RegistrationAuthority/14" TargetMode="External" Id="Radff7e850ded4248" /><Relationship Type="http://schemas.openxmlformats.org/officeDocument/2006/relationships/hyperlink" Target="https://meteor-uat.aihw.gov.au/content/598184" TargetMode="External" Id="Raa01f6a25dfa4508" /><Relationship Type="http://schemas.openxmlformats.org/officeDocument/2006/relationships/hyperlink" Target="https://meteor-uat.aihw.gov.au/RegistrationAuthority/14" TargetMode="External" Id="R807dc0cf55684fbe" /><Relationship Type="http://schemas.openxmlformats.org/officeDocument/2006/relationships/hyperlink" Target="https://meteor-uat.aihw.gov.au/content/584864" TargetMode="External" Id="R8cf5dd76df72452f" /><Relationship Type="http://schemas.openxmlformats.org/officeDocument/2006/relationships/hyperlink" Target="https://meteor-uat.aihw.gov.au/content/584868" TargetMode="External" Id="R894b679f0abc45a7" /><Relationship Type="http://schemas.openxmlformats.org/officeDocument/2006/relationships/hyperlink" Target="https://meteor-uat.aihw.gov.au/content/584866" TargetMode="External" Id="Rbdde01dfab87471f" /><Relationship Type="http://schemas.openxmlformats.org/officeDocument/2006/relationships/hyperlink" Target="https://meteor-uat.aihw.gov.au/content/633048" TargetMode="External" Id="R1ca42b8607fa4b1c" /><Relationship Type="http://schemas.openxmlformats.org/officeDocument/2006/relationships/hyperlink" Target="https://meteor-uat.aihw.gov.au/RegistrationAuthority/14" TargetMode="External" Id="R1cade08989704b1f" /></Relationships>
</file>

<file path=word/_rels/header1.xml.rels>&#65279;<?xml version="1.0" encoding="utf-8"?><Relationships xmlns="http://schemas.openxmlformats.org/package/2006/relationships"><Relationship Type="http://schemas.openxmlformats.org/officeDocument/2006/relationships/image" Target="/media/image.png" Id="R0e08bc52a3e44277" /></Relationships>
</file>