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3156b008f44ec"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May 2013-August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May 2013-August 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601d469bad24373">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d74b5ca7b0154e6d">
                    <w:r>
                      <w:rPr>
                        <w:rStyle w:val="Hyperlink"/>
                      </w:rPr>
                      <w:t xml:space="preserve">Audiology assessment client cluster </w:t>
                    </w:r>
                  </w:hyperlink>
                </w:p>
              </w:tc>
              <w:tc>
                <w:tcPr>
                  <w:vAlign w:val="top"/>
                </w:tcPr>
                <w:p>
                  <w:r>
                    <w:t xml:space="preserve">525056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1e2d0187cd6409f">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      2</w:t>
                  </w:r>
                </w:p>
              </w:tc>
              <w:tc>
                <w:tcPr>
                  <w:tcMar>
                    <w:left w:w="225" w:type="dxa"/>
                  </w:tcMar>
                  <w:vAlign w:val="top"/>
                </w:tcPr>
                <w:p>
                  <w:hyperlink w:history="true" r:id="R64225be936d24a7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d44a795cd9cb47e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ab61830e7adb412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b25ddf7243d94e12">
                    <w:r>
                      <w:rPr>
                        <w:rStyle w:val="Hyperlink"/>
                      </w:rPr>
                      <w:t xml:space="preserve">Hearing loss indicator</w:t>
                    </w:r>
                  </w:hyperlink>
                </w:p>
              </w:tc>
              <w:tc>
                <w:tcPr>
                  <w:vAlign w:val="top"/>
                </w:tcPr>
                <w:p>
                  <w:r>
                    <w:t xml:space="preserve">530241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e7f08c32746844e1">
                    <w:r>
                      <w:rPr>
                        <w:rStyle w:val="Hyperlink"/>
                      </w:rPr>
                      <w:t xml:space="preserve">Site of hearing loss</w:t>
                    </w:r>
                  </w:hyperlink>
                </w:p>
              </w:tc>
              <w:tc>
                <w:tcPr>
                  <w:vAlign w:val="top"/>
                </w:tcPr>
                <w:p>
                  <w:r>
                    <w:t xml:space="preserve">502841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Unilateral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Sound field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6fb5b2773fa94977">
                    <w:r>
                      <w:rPr>
                        <w:rStyle w:val="Hyperlink"/>
                      </w:rPr>
                      <w:t xml:space="preserve">Type of hearing loss</w:t>
                    </w:r>
                  </w:hyperlink>
                </w:p>
              </w:tc>
              <w:tc>
                <w:tcPr>
                  <w:vAlign w:val="top"/>
                </w:tcPr>
                <w:p>
                  <w:r>
                    <w:t xml:space="preserve">578397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Conductive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Sensorineural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Mixed (both conductive and sensorineural)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CNT/DNT (could not test/did not test)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04a456cfcc804cc1">
                    <w:r>
                      <w:rPr>
                        <w:rStyle w:val="Hyperlink"/>
                      </w:rPr>
                      <w:t xml:space="preserve">Hearing impairment indicator</w:t>
                    </w:r>
                  </w:hyperlink>
                </w:p>
              </w:tc>
              <w:tc>
                <w:tcPr>
                  <w:vAlign w:val="top"/>
                </w:tcPr>
                <w:p>
                  <w:r>
                    <w:t xml:space="preserve">530424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2cda0f6d39624d3d">
                    <w:r>
                      <w:rPr>
                        <w:rStyle w:val="Hyperlink"/>
                      </w:rPr>
                      <w:t xml:space="preserve">Degree of hearing impairment </w:t>
                    </w:r>
                  </w:hyperlink>
                </w:p>
              </w:tc>
              <w:tc>
                <w:tcPr>
                  <w:vAlign w:val="top"/>
                </w:tcPr>
                <w:p>
                  <w:r>
                    <w:t xml:space="preserve">500419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Profound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5508ee2fb3e243f5">
                    <w:r>
                      <w:rPr>
                        <w:rStyle w:val="Hyperlink"/>
                      </w:rPr>
                      <w:t xml:space="preserve">Middle ear condition indicator</w:t>
                    </w:r>
                  </w:hyperlink>
                </w:p>
              </w:tc>
              <w:tc>
                <w:tcPr>
                  <w:vAlign w:val="top"/>
                </w:tcPr>
                <w:p>
                  <w:r>
                    <w:t xml:space="preserve">530454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09ff5122068e43ef">
                    <w:r>
                      <w:rPr>
                        <w:rStyle w:val="Hyperlink"/>
                      </w:rPr>
                      <w:t xml:space="preserve">Middle ear condition type (code)</w:t>
                    </w:r>
                  </w:hyperlink>
                </w:p>
              </w:tc>
              <w:tc>
                <w:tcPr>
                  <w:vAlign w:val="top"/>
                </w:tcPr>
                <w:p>
                  <w:r>
                    <w:t xml:space="preserve">504317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Eustachian tube dysfunction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Acute otitis media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Acute otitis media without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Otitis media effusion</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Chronic suppurative otitis media with active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Chronic suppurative otitis media with inactive dry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10</w:t>
                  </w:r>
                </w:p>
              </w:tc>
              <w:tc>
                <w:tcPr>
                  <w:tcMar/>
                  <w:vAlign w:val="top"/>
                </w:tcPr>
                <w:p>
                  <w:hyperlink w:history="true" r:id="R3420d568b1ee49d5">
                    <w:r>
                      <w:rPr>
                        <w:rStyle w:val="Hyperlink"/>
                      </w:rPr>
                      <w:t xml:space="preserve">Middle ear condition type (text)</w:t>
                    </w:r>
                  </w:hyperlink>
                </w:p>
              </w:tc>
              <w:tc>
                <w:tcPr>
                  <w:vAlign w:val="top"/>
                </w:tcPr>
                <w:p>
                  <w:r>
                    <w:t xml:space="preserve">504383</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480b1c7297a646f4">
                    <w:r>
                      <w:rPr>
                        <w:rStyle w:val="Hyperlink"/>
                      </w:rPr>
                      <w:t xml:space="preserve">Audiology assessment recommended course of action (code)</w:t>
                    </w:r>
                  </w:hyperlink>
                </w:p>
              </w:tc>
              <w:tc>
                <w:tcPr>
                  <w:vAlign w:val="top"/>
                </w:tcPr>
                <w:p>
                  <w:r>
                    <w:t xml:space="preserve">578384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further action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management by Primary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Case management by Ear, Nose and Throat (ENT)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Ongoing monitoring by Northern Territory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Referral to Australian Hearing (rehabilitation)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to Department of Education Employment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cd0888002a684aef">
                    <w:r>
                      <w:rPr>
                        <w:rStyle w:val="Hyperlink"/>
                      </w:rPr>
                      <w:t xml:space="preserve">Audiology assessment recommended course of action (text)</w:t>
                    </w:r>
                  </w:hyperlink>
                </w:p>
              </w:tc>
              <w:tc>
                <w:tcPr>
                  <w:vAlign w:val="top"/>
                </w:tcPr>
                <w:p>
                  <w:r>
                    <w:t xml:space="preserve">505007</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1d809b11f89642f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2d3539ee2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09b11f89642f7" /><Relationship Type="http://schemas.openxmlformats.org/officeDocument/2006/relationships/header" Target="/word/header1.xml" Id="Rb85c8a1e5991477c" /><Relationship Type="http://schemas.openxmlformats.org/officeDocument/2006/relationships/settings" Target="/word/settings.xml" Id="R108c1f03db2f4a02" /><Relationship Type="http://schemas.openxmlformats.org/officeDocument/2006/relationships/styles" Target="/word/styles.xml" Id="Rdd5210b5168b41c9" /><Relationship Type="http://schemas.openxmlformats.org/officeDocument/2006/relationships/hyperlink" Target="https://meteor-uat.aihw.gov.au/content/527660" TargetMode="External" Id="R2601d469bad24373" /><Relationship Type="http://schemas.openxmlformats.org/officeDocument/2006/relationships/hyperlink" Target="https://meteor-uat.aihw.gov.au/content/525056" TargetMode="External" Id="Rd74b5ca7b0154e6d" /><Relationship Type="http://schemas.openxmlformats.org/officeDocument/2006/relationships/hyperlink" Target="https://meteor-uat.aihw.gov.au/content/507630" TargetMode="External" Id="Rf1e2d0187cd6409f" /><Relationship Type="http://schemas.openxmlformats.org/officeDocument/2006/relationships/hyperlink" Target="https://meteor-uat.aihw.gov.au/content/290046" TargetMode="External" Id="R64225be936d24a77" /><Relationship Type="http://schemas.openxmlformats.org/officeDocument/2006/relationships/hyperlink" Target="https://meteor-uat.aihw.gov.au/content/287007" TargetMode="External" Id="Rd44a795cd9cb47ec" /><Relationship Type="http://schemas.openxmlformats.org/officeDocument/2006/relationships/hyperlink" Target="https://meteor-uat.aihw.gov.au/content/287316" TargetMode="External" Id="Rab61830e7adb4123" /><Relationship Type="http://schemas.openxmlformats.org/officeDocument/2006/relationships/hyperlink" Target="https://meteor-uat.aihw.gov.au/content/530241" TargetMode="External" Id="Rb25ddf7243d94e12" /><Relationship Type="http://schemas.openxmlformats.org/officeDocument/2006/relationships/hyperlink" Target="https://meteor-uat.aihw.gov.au/content/502841" TargetMode="External" Id="Re7f08c32746844e1" /><Relationship Type="http://schemas.openxmlformats.org/officeDocument/2006/relationships/hyperlink" Target="https://meteor-uat.aihw.gov.au/content/578397" TargetMode="External" Id="R6fb5b2773fa94977" /><Relationship Type="http://schemas.openxmlformats.org/officeDocument/2006/relationships/hyperlink" Target="https://meteor-uat.aihw.gov.au/content/530424" TargetMode="External" Id="R04a456cfcc804cc1" /><Relationship Type="http://schemas.openxmlformats.org/officeDocument/2006/relationships/hyperlink" Target="https://meteor-uat.aihw.gov.au/content/500419" TargetMode="External" Id="R2cda0f6d39624d3d" /><Relationship Type="http://schemas.openxmlformats.org/officeDocument/2006/relationships/hyperlink" Target="https://meteor-uat.aihw.gov.au/content/530454" TargetMode="External" Id="R5508ee2fb3e243f5" /><Relationship Type="http://schemas.openxmlformats.org/officeDocument/2006/relationships/hyperlink" Target="https://meteor-uat.aihw.gov.au/content/504317" TargetMode="External" Id="R09ff5122068e43ef" /><Relationship Type="http://schemas.openxmlformats.org/officeDocument/2006/relationships/hyperlink" Target="https://meteor-uat.aihw.gov.au/content/504383" TargetMode="External" Id="R3420d568b1ee49d5" /><Relationship Type="http://schemas.openxmlformats.org/officeDocument/2006/relationships/hyperlink" Target="https://meteor-uat.aihw.gov.au/content/578384" TargetMode="External" Id="R480b1c7297a646f4" /><Relationship Type="http://schemas.openxmlformats.org/officeDocument/2006/relationships/hyperlink" Target="https://meteor-uat.aihw.gov.au/content/505007" TargetMode="External" Id="Rcd0888002a684aef" /></Relationships>
</file>

<file path=word/_rels/header1.xml.rels>&#65279;<?xml version="1.0" encoding="utf-8"?><Relationships xmlns="http://schemas.openxmlformats.org/package/2006/relationships"><Relationship Type="http://schemas.openxmlformats.org/officeDocument/2006/relationships/image" Target="/media/image.png" Id="R3372d3539ee2423f" /></Relationships>
</file>