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080ce49f38461b" /></Relationships>
</file>

<file path=word/document.xml><?xml version="1.0" encoding="utf-8"?>
<w:document xmlns:r="http://schemas.openxmlformats.org/officeDocument/2006/relationships" xmlns:w="http://schemas.openxmlformats.org/wordprocessingml/2006/main">
  <w:body>
    <w:p>
      <w:pPr>
        <w:pStyle w:val="Title"/>
      </w:pPr>
      <w:r>
        <w:t>Healthcare-associated infections NBEDS 2016-2021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Healthcare-associated infections NBEDS 2016-2021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507606948498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Healthcare-associated infections National best endeavours data set (HAI NBEDS) is to support national monitoring of healthcare-associated infections (HAIs), including </w:t>
            </w:r>
            <w:r>
              <w:rPr>
                <w:rStyle w:val="row-content-rich-text"/>
                <w:i/>
              </w:rPr>
              <w:t xml:space="preserve">Staphylococcus aureus</w:t>
            </w:r>
            <w:r>
              <w:rPr>
                <w:rStyle w:val="row-content-rich-text"/>
              </w:rPr>
              <w:t xml:space="preserve"> bacteraemia (SAB), in public hospitals.</w:t>
            </w:r>
          </w:p>
          <w:p>
            <w:pPr>
              <w:spacing w:after="160"/>
            </w:pPr>
            <w:r>
              <w:rPr>
                <w:rStyle w:val="row-content-rich-text"/>
              </w:rPr>
              <w:t xml:space="preserve">HAIs are infections acquired as a direct or indirect result of health care.</w:t>
            </w:r>
          </w:p>
          <w:p>
            <w:pPr>
              <w:spacing w:after="160"/>
            </w:pPr>
            <w:r>
              <w:rPr>
                <w:rStyle w:val="row-content-rich-text"/>
              </w:rPr>
              <w:t xml:space="preserve">HAIs are infections acquired in healthcare facilities ('nosocomial' infections) and infections that occur as a result of healthcare interventions ('iatrogenic' infections), and which may manifest after people leave the healthcare facility (NHMRC 2010).</w:t>
            </w:r>
          </w:p>
          <w:p>
            <w:pPr/>
            <w:r>
              <w:rPr>
                <w:rStyle w:val="row-content-rich-text"/>
              </w:rPr>
              <w:t xml:space="preserve">The scope for this NBEDS is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following terminology is used in this NBEDS:</w:t>
            </w:r>
          </w:p>
          <w:p>
            <w:pPr>
              <w:pStyle w:val="ListParagraph"/>
              <w:numPr>
                <w:ilvl w:val="0"/>
                <w:numId w:val="2"/>
              </w:numPr>
            </w:pPr>
            <w:r>
              <w:rPr>
                <w:rStyle w:val="row-content-rich-text"/>
              </w:rPr>
              <w:t xml:space="preserve">A case refers to a patient episode.</w:t>
            </w:r>
          </w:p>
          <w:p>
            <w:pPr>
              <w:pStyle w:val="ListParagraph"/>
              <w:numPr>
                <w:ilvl w:val="0"/>
                <w:numId w:val="2"/>
              </w:numPr>
            </w:pPr>
            <w:r>
              <w:rPr>
                <w:rStyle w:val="row-content-rich-text"/>
              </w:rPr>
              <w:t xml:space="preserve">Surveillance arrangements refer to the particular arrangements in place in a hospital to identify potential HAIs, and to further determine whether a particular potential HAI is healthcare-associated. Surveillance arrangements are typically undertaken by infection control staff in collaboration with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HAI surveillance systems.</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currently only covers the collection of healthcare-associated patient episodes of SAB.</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w:t>
            </w:r>
            <w:hyperlink w:history="true" r:id="Rdf484c890fdc4879">
              <w:r>
                <w:rPr>
                  <w:rStyle w:val="Hyperlink"/>
                </w:rPr>
                <w:t xml:space="preserve">admitted patient care</w:t>
              </w:r>
            </w:hyperlink>
            <w:r>
              <w:rPr>
                <w:rStyle w:val="row-content-rich-text"/>
              </w:rPr>
              <w:t xml:space="preserve"> or </w:t>
            </w:r>
            <w:hyperlink w:history="true" r:id="R62d8d3c07b0a47b1">
              <w:r>
                <w:rPr>
                  <w:rStyle w:val="Hyperlink"/>
                </w:rPr>
                <w:t xml:space="preserve">non-admitted patient</w:t>
              </w:r>
            </w:hyperlink>
            <w:r>
              <w:rPr>
                <w:rStyle w:val="row-content-rich-text"/>
              </w:rPr>
              <w:t xml:space="preserve"> care in public hospitals.</w:t>
            </w:r>
          </w:p>
          <w:p>
            <w:pPr>
              <w:spacing w:after="160"/>
            </w:pPr>
            <w:r>
              <w:rPr>
                <w:rStyle w:val="row-content-rich-text"/>
              </w:rPr>
              <w:t xml:space="preserve">The total number of healthcare-associated </w:t>
            </w:r>
            <w:r>
              <w:rPr>
                <w:rStyle w:val="row-content-rich-text"/>
                <w:i/>
              </w:rPr>
              <w:t xml:space="preserve">Staphylococcus aureus</w:t>
            </w:r>
            <w:r>
              <w:rPr>
                <w:rStyle w:val="row-content-rich-text"/>
              </w:rPr>
              <w:t xml:space="preserve"> bacteraemia patient episodes attributed to a hospital can be derived by adding the number of healthcare-associated Methicillin-resistant </w:t>
            </w:r>
            <w:r>
              <w:rPr>
                <w:rStyle w:val="row-content-rich-text"/>
                <w:i/>
              </w:rPr>
              <w:t xml:space="preserve">Staphylococcus aureus</w:t>
            </w:r>
            <w:r>
              <w:rPr>
                <w:rStyle w:val="row-content-rich-text"/>
              </w:rPr>
              <w:t xml:space="preserve"> (MRSA) bacteraemia patient episodes and the number of healthcare-associated Methicillin-sensitive </w:t>
            </w:r>
            <w:r>
              <w:rPr>
                <w:rStyle w:val="row-content-rich-text"/>
                <w:i/>
              </w:rPr>
              <w:t xml:space="preserve">Staphylococcus aureus</w:t>
            </w:r>
            <w:r>
              <w:rPr>
                <w:rStyle w:val="row-content-rich-text"/>
              </w:rPr>
              <w:t xml:space="preserve"> (MRSA) bacteraemia patient episodes.</w:t>
            </w:r>
          </w:p>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best endeavours data set include:</w:t>
            </w:r>
          </w:p>
          <w:p>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62e2e0ce217d4400">
              <w:r>
                <w:rPr>
                  <w:rStyle w:val="Hyperlink"/>
                  <w:b/>
                </w:rPr>
                <w:t xml:space="preserve">Episode of healthcare-associated Staphylococcus aureus bacteraemia</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847d926654ef446c">
              <w:r>
                <w:rPr>
                  <w:rStyle w:val="Hyperlink"/>
                  <w:b/>
                </w:rPr>
                <w:t xml:space="preserve">Geographic indicator</w:t>
              </w:r>
            </w:hyperlink>
          </w:p>
          <w:p>
            <w:hyperlink w:tooltip="A person who is receiving food and/or accommodation but for whom the hospital does not accept responsibility for treatment and/or care." w:history="true" r:id="R4e693a02300447ee">
              <w:r>
                <w:rPr>
                  <w:rStyle w:val="Hyperlink"/>
                  <w:b/>
                </w:rPr>
                <w:t xml:space="preserve">Hospital boarder</w:t>
              </w:r>
            </w:hyperlink>
          </w:p>
          <w:p>
            <w:hyperlink w:tooltip="Qualification status indicates whether the patient day within a newborn episode of care is either qualified or unqualified." w:history="true" r:id="R67ee4f9c862f424f">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976c2d394ddf44ca">
              <w:r>
                <w:rPr>
                  <w:rStyle w:val="Hyperlink"/>
                  <w:b/>
                </w:rPr>
                <w:t xml:space="preserve">Organ procurement–posthumous</w:t>
              </w:r>
            </w:hyperlink>
          </w:p>
          <w:p>
            <w:hyperlink w:tooltip="A patient who, following a clinical decision, receives hospital treatment for a minimum of one night, i.e. who is admitted to and separated from the hospital on different dates." w:history="true" r:id="R851a0c9d34ea4dff">
              <w:r>
                <w:rPr>
                  <w:rStyle w:val="Hyperlink"/>
                  <w:b/>
                </w:rPr>
                <w:t xml:space="preserve">Overnight-stay patient</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37019dabd5b41d5">
              <w:r>
                <w:rPr>
                  <w:rStyle w:val="Hyperlink"/>
                  <w:b/>
                </w:rPr>
                <w:t xml:space="preserve">Same-day patient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2010. Australian Guidelines for the Prevention and Control of Infection in Healthcare.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67eff2633d4fbc">
              <w:r>
                <w:rPr>
                  <w:rStyle w:val="Hyperlink"/>
                </w:rPr>
                <w:t xml:space="preserve">Healthcare-associated infections NBEDS 2021–</w:t>
              </w:r>
            </w:hyperlink>
          </w:p>
          <w:p>
            <w:pPr>
              <w:pStyle w:val="registration-status"/>
              <w:spacing w:before="0" w:after="0"/>
            </w:pPr>
            <w:hyperlink w:history="true" r:id="Rd72727444a67422b">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48338e26897640a8">
              <w:r>
                <w:rPr>
                  <w:rStyle w:val="Hyperlink"/>
                </w:rPr>
                <w:t xml:space="preserve">Surveillance of healthcare associated infection: Staphylococcus aureus bacteraemia NBPDS</w:t>
              </w:r>
            </w:hyperlink>
          </w:p>
          <w:p>
            <w:pPr>
              <w:pStyle w:val="registration-status"/>
              <w:spacing w:before="0" w:after="0"/>
            </w:pPr>
            <w:hyperlink w:history="true" r:id="R0ebd0b78436e4ec2">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1d80932b433400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6f09d80fa29452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32c8c0a65f34149">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814ba9fa40545b6">
                    <w:r>
                      <w:rPr>
                        <w:rStyle w:val="Hyperlink"/>
                      </w:rPr>
                      <w:t xml:space="preserve">Establishment—Staphylococcus aureus bacteraemia surveillance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837d7c2ec344c52">
                    <w:r>
                      <w:rPr>
                        <w:rStyle w:val="Hyperlink"/>
                      </w:rPr>
                      <w:t xml:space="preserve">Establishment—number of patient days, total N[N(7)]</w:t>
                    </w:r>
                  </w:hyperlink>
                </w:p>
                <w:p>
                  <w:r>
                    <w:rPr>
                      <w:b/>
                      <w:i/>
                      <w:color w:val="333333"/>
                    </w:rPr>
                    <w:t xml:space="preserve">DSS specific information:</w:t>
                  </w:r>
                </w:p>
                <w:p>
                  <w:r>
                    <w:t xml:space="preserve">Patient days for </w:t>
                  </w:r>
                  <w:hyperlink w:tooltip="Qualification status indicates whether the patient day within a newborn episode of care is either qualified or unqualified." w:history="true" r:id="Rc615eef804f64ec3">
                    <w:r>
                      <w:rPr>
                        <w:rStyle w:val="Hyperlink"/>
                        <w:b/>
                      </w:rPr>
                      <w:t xml:space="preserve">unqualified newborns</w:t>
                    </w:r>
                  </w:hyperlink>
                  <w:r>
                    <w:t xml:space="preserve">, </w:t>
                  </w:r>
                  <w:hyperlink w:tooltip="A person who is receiving food and/or accommodation but for whom the hospital does not accept responsibility for treatment and/or care." w:history="true" r:id="Ra99d66591ea04440">
                    <w:r>
                      <w:rPr>
                        <w:rStyle w:val="Hyperlink"/>
                        <w:b/>
                      </w:rPr>
                      <w:t xml:space="preserve">hospital boarders</w:t>
                    </w:r>
                  </w:hyperlink>
                  <w:r>
                    <w:t xml:space="preserve">, and </w:t>
                  </w:r>
                  <w:hyperlink w:tooltip="An activity undertaken by hospitals in which human tissue is procured for the purpose of transplantation from a donor who has been declared brain dead." w:history="true" r:id="R1ceb4990645d4a05">
                    <w:r>
                      <w:rPr>
                        <w:rStyle w:val="Hyperlink"/>
                        <w:b/>
                      </w:rPr>
                      <w:t xml:space="preserve">posthumous organ procurement</w:t>
                    </w:r>
                  </w:hyperlink>
                  <w:r>
                    <w:t xml:space="preserve"> are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2bd214354434f7b">
                    <w:r>
                      <w:rPr>
                        <w:rStyle w:val="Hyperlink"/>
                      </w:rPr>
                      <w:t xml:space="preserve">Establishment—number of hospital patient days under Staphylococcus aureus bacteraemia surveillance, total days N[NNNNN]</w:t>
                    </w:r>
                  </w:hyperlink>
                </w:p>
                <w:p>
                  <w:r>
                    <w:rPr>
                      <w:b/>
                      <w:i/>
                      <w:color w:val="333333"/>
                    </w:rPr>
                    <w:t xml:space="preserve">Conditional obligation:</w:t>
                  </w:r>
                </w:p>
                <w:p>
                  <w:r>
                    <w:t xml:space="preserve">Reporting of this data element is conditional on a 'Yes' response to the </w:t>
                  </w:r>
                  <w:hyperlink w:history="true" r:id="Re937f3f6813a46bf">
                    <w:r>
                      <w:rPr>
                        <w:rStyle w:val="Hyperlink"/>
                      </w:rPr>
                      <w:t xml:space="preserve">Establishment—</w:t>
                    </w:r>
                    <w:r>
                      <w:rPr>
                        <w:i/>
                      </w:rPr>
                      <w:t xml:space="preserve">Staphylococcus aureus </w:t>
                    </w:r>
                    <w:r>
                      <w:t xml:space="preserve">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986b6f6765a4c17">
                    <w:r>
                      <w:rPr>
                        <w:rStyle w:val="Hyperlink"/>
                      </w:rPr>
                      <w:t xml:space="preserve">Establishment—number of healthcare-associated Methicillin-resistant Staphylococcus aureus (MRSA) bacteraemia patient episodes, total episodes N[NNNN]</w:t>
                    </w:r>
                  </w:hyperlink>
                </w:p>
                <w:p>
                  <w:r>
                    <w:rPr>
                      <w:b/>
                      <w:i/>
                      <w:color w:val="333333"/>
                    </w:rPr>
                    <w:t xml:space="preserve">Conditional obligation:</w:t>
                  </w:r>
                </w:p>
                <w:p>
                  <w:r>
                    <w:t xml:space="preserve">Reporting of this data element is conditional on a 'Yes' response to the </w:t>
                  </w:r>
                  <w:hyperlink w:history="true" r:id="R69080375e74548ea">
                    <w:r>
                      <w:rPr>
                        <w:rStyle w:val="Hyperlink"/>
                      </w:rPr>
                      <w:t xml:space="preserve">Establishment—</w:t>
                    </w:r>
                    <w:r>
                      <w:rPr>
                        <w:i/>
                      </w:rPr>
                      <w:t xml:space="preserve">Staphylococcus aureus</w:t>
                    </w:r>
                    <w:r>
                      <w:t xml:space="preserve"> 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036297e6bb647b2">
                    <w:r>
                      <w:rPr>
                        <w:rStyle w:val="Hyperlink"/>
                      </w:rPr>
                      <w:t xml:space="preserve">Establishment—number of healthcare-associated Methicillin-sensitive Staphylococcus aureus (MSSA) bacteraemia patient episodes, total episodes N[NNNN]</w:t>
                    </w:r>
                  </w:hyperlink>
                </w:p>
                <w:p>
                  <w:r>
                    <w:rPr>
                      <w:b/>
                      <w:i/>
                      <w:color w:val="333333"/>
                    </w:rPr>
                    <w:t xml:space="preserve">Conditional obligation:</w:t>
                  </w:r>
                </w:p>
                <w:p>
                  <w:r>
                    <w:t xml:space="preserve">Reporting of this data element is conditional on a 'Yes' response to the </w:t>
                  </w:r>
                  <w:hyperlink w:history="true" r:id="Rfcf754ef8a7e439f">
                    <w:r>
                      <w:rPr>
                        <w:rStyle w:val="Hyperlink"/>
                      </w:rPr>
                      <w:t xml:space="preserve">Establishment—</w:t>
                    </w:r>
                    <w:r>
                      <w:rPr>
                        <w:i/>
                      </w:rPr>
                      <w:t xml:space="preserve">Staphylococcus aureus</w:t>
                    </w:r>
                    <w:r>
                      <w:t xml:space="preserve"> 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98ea3aad3c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3a161bfaf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8ea3aad3c4e66" /><Relationship Type="http://schemas.openxmlformats.org/officeDocument/2006/relationships/header" Target="/word/header1.xml" Id="Rd711a58b061c4071" /><Relationship Type="http://schemas.openxmlformats.org/officeDocument/2006/relationships/settings" Target="/word/settings.xml" Id="Rec8b75fcf85c490a" /><Relationship Type="http://schemas.openxmlformats.org/officeDocument/2006/relationships/styles" Target="/word/styles.xml" Id="R201159611d9d4f9a" /><Relationship Type="http://schemas.openxmlformats.org/officeDocument/2006/relationships/numbering" Target="/word/numbering.xml" Id="R8e7f9cd0ad584a5f" /><Relationship Type="http://schemas.openxmlformats.org/officeDocument/2006/relationships/hyperlink" Target="https://meteor-uat.aihw.gov.au/RegistrationAuthority/14" TargetMode="External" Id="R67d5076069484985" /><Relationship Type="http://schemas.openxmlformats.org/officeDocument/2006/relationships/hyperlink" Target="https://meteor-uat.aihw.gov.au/content/268956" TargetMode="External" Id="Rdf484c890fdc4879" /><Relationship Type="http://schemas.openxmlformats.org/officeDocument/2006/relationships/hyperlink" Target="https://meteor-uat.aihw.gov.au/content/268973" TargetMode="External" Id="R62d8d3c07b0a47b1" /><Relationship Type="http://schemas.openxmlformats.org/officeDocument/2006/relationships/hyperlink" Target="https://meteor-uat.aihw.gov.au/content/590503" TargetMode="External" Id="R62e2e0ce217d4400" /><Relationship Type="http://schemas.openxmlformats.org/officeDocument/2006/relationships/hyperlink" Target="https://meteor-uat.aihw.gov.au/content/327306" TargetMode="External" Id="R847d926654ef446c" /><Relationship Type="http://schemas.openxmlformats.org/officeDocument/2006/relationships/hyperlink" Target="https://meteor-uat.aihw.gov.au/content/327242" TargetMode="External" Id="R4e693a02300447ee" /><Relationship Type="http://schemas.openxmlformats.org/officeDocument/2006/relationships/hyperlink" Target="https://meteor-uat.aihw.gov.au/content/327254" TargetMode="External" Id="R67ee4f9c862f424f" /><Relationship Type="http://schemas.openxmlformats.org/officeDocument/2006/relationships/hyperlink" Target="https://meteor-uat.aihw.gov.au/content/327258" TargetMode="External" Id="R976c2d394ddf44ca" /><Relationship Type="http://schemas.openxmlformats.org/officeDocument/2006/relationships/hyperlink" Target="https://meteor-uat.aihw.gov.au/content/327256" TargetMode="External" Id="R851a0c9d34ea4dff" /><Relationship Type="http://schemas.openxmlformats.org/officeDocument/2006/relationships/hyperlink" Target="https://meteor-uat.aihw.gov.au/content/327270" TargetMode="External" Id="R037019dabd5b41d5" /><Relationship Type="http://schemas.openxmlformats.org/officeDocument/2006/relationships/hyperlink" Target="https://meteor-uat.aihw.gov.au/content/751510" TargetMode="External" Id="R5e67eff2633d4fbc" /><Relationship Type="http://schemas.openxmlformats.org/officeDocument/2006/relationships/hyperlink" Target="https://meteor-uat.aihw.gov.au/RegistrationAuthority/14" TargetMode="External" Id="Rd72727444a67422b" /><Relationship Type="http://schemas.openxmlformats.org/officeDocument/2006/relationships/hyperlink" Target="https://meteor-uat.aihw.gov.au/content/391133" TargetMode="External" Id="R48338e26897640a8" /><Relationship Type="http://schemas.openxmlformats.org/officeDocument/2006/relationships/hyperlink" Target="https://meteor-uat.aihw.gov.au/RegistrationAuthority/14" TargetMode="External" Id="R0ebd0b78436e4ec2" /><Relationship Type="http://schemas.openxmlformats.org/officeDocument/2006/relationships/hyperlink" Target="https://meteor-uat.aihw.gov.au/content/269941" TargetMode="External" Id="R61d80932b433400f" /><Relationship Type="http://schemas.openxmlformats.org/officeDocument/2006/relationships/hyperlink" Target="https://meteor-uat.aihw.gov.au/content/269973" TargetMode="External" Id="R16f09d80fa294524" /><Relationship Type="http://schemas.openxmlformats.org/officeDocument/2006/relationships/hyperlink" Target="https://meteor-uat.aihw.gov.au/content/407430" TargetMode="External" Id="R832c8c0a65f34149" /><Relationship Type="http://schemas.openxmlformats.org/officeDocument/2006/relationships/hyperlink" Target="https://meteor-uat.aihw.gov.au/content/585386" TargetMode="External" Id="R5814ba9fa40545b6" /><Relationship Type="http://schemas.openxmlformats.org/officeDocument/2006/relationships/hyperlink" Target="https://meteor-uat.aihw.gov.au/content/270045" TargetMode="External" Id="R9837d7c2ec344c52" /><Relationship Type="http://schemas.openxmlformats.org/officeDocument/2006/relationships/hyperlink" Target="https://meteor-uat.aihw.gov.au/content/327254" TargetMode="External" Id="Rc615eef804f64ec3" /><Relationship Type="http://schemas.openxmlformats.org/officeDocument/2006/relationships/hyperlink" Target="https://meteor-uat.aihw.gov.au/content/327242" TargetMode="External" Id="Ra99d66591ea04440" /><Relationship Type="http://schemas.openxmlformats.org/officeDocument/2006/relationships/hyperlink" Target="https://meteor-uat.aihw.gov.au/content/327258" TargetMode="External" Id="R1ceb4990645d4a05" /><Relationship Type="http://schemas.openxmlformats.org/officeDocument/2006/relationships/hyperlink" Target="https://meteor-uat.aihw.gov.au/content/585108" TargetMode="External" Id="R02bd214354434f7b" /><Relationship Type="http://schemas.openxmlformats.org/officeDocument/2006/relationships/hyperlink" Target="https://meteor-uat.aihw.gov.au/content/585386" TargetMode="External" Id="Re937f3f6813a46bf" /><Relationship Type="http://schemas.openxmlformats.org/officeDocument/2006/relationships/hyperlink" Target="https://meteor-uat.aihw.gov.au/content/585164" TargetMode="External" Id="Rb986b6f6765a4c17" /><Relationship Type="http://schemas.openxmlformats.org/officeDocument/2006/relationships/hyperlink" Target="https://meteor-uat.aihw.gov.au/content/585386" TargetMode="External" Id="R69080375e74548ea" /><Relationship Type="http://schemas.openxmlformats.org/officeDocument/2006/relationships/hyperlink" Target="https://meteor-uat.aihw.gov.au/content/585132" TargetMode="External" Id="Re036297e6bb647b2" /><Relationship Type="http://schemas.openxmlformats.org/officeDocument/2006/relationships/hyperlink" Target="https://meteor-uat.aihw.gov.au/content/585386" TargetMode="External" Id="Rfcf754ef8a7e439f" /></Relationships>
</file>

<file path=word/_rels/header1.xml.rels>&#65279;<?xml version="1.0" encoding="utf-8"?><Relationships xmlns="http://schemas.openxmlformats.org/package/2006/relationships"><Relationship Type="http://schemas.openxmlformats.org/officeDocument/2006/relationships/image" Target="/media/image.png" Id="R80b3a161bfaf42fa" /></Relationships>
</file>