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37f98d71044d8" /></Relationships>
</file>

<file path=word/document.xml><?xml version="1.0" encoding="utf-8"?>
<w:document xmlns:r="http://schemas.openxmlformats.org/officeDocument/2006/relationships" xmlns:w="http://schemas.openxmlformats.org/wordprocessingml/2006/main">
  <w:body>
    <w:p>
      <w:pPr>
        <w:pStyle w:val="Title"/>
      </w:pPr>
      <w:r>
        <w:t>Disability Services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f6fc5833b164a0c">
                    <w:r>
                      <w:rPr>
                        <w:rStyle w:val="Hyperlink"/>
                      </w:rPr>
                      <w:t xml:space="preserve">Activity and participation need for assistance cluster</w:t>
                    </w:r>
                  </w:hyperlink>
                </w:p>
              </w:tc>
              <w:tc>
                <w:tcPr>
                  <w:vAlign w:val="top"/>
                </w:tcPr>
                <w:p>
                  <w:r>
                    <w:t xml:space="preserve">492069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805a3ea65b74e77">
                    <w:r>
                      <w:rPr>
                        <w:rStyle w:val="Hyperlink"/>
                      </w:rPr>
                      <w:t xml:space="preserve">Activity and participation type (Disability)</w:t>
                    </w:r>
                  </w:hyperlink>
                </w:p>
              </w:tc>
              <w:tc>
                <w:tcPr>
                  <w:vAlign w:val="top"/>
                </w:tcPr>
                <w:p>
                  <w:r>
                    <w:t xml:space="preserve">492131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c43f9f5abe4210">
                    <w:r>
                      <w:rPr>
                        <w:rStyle w:val="Hyperlink"/>
                      </w:rPr>
                      <w:t xml:space="preserve">Assistance with activities (Disability)</w:t>
                    </w:r>
                  </w:hyperlink>
                </w:p>
              </w:tc>
              <w:tc>
                <w:tcPr>
                  <w:vAlign w:val="top"/>
                </w:tcPr>
                <w:p>
                  <w:r>
                    <w:t xml:space="preserve">386443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944f96f93f94413f">
                    <w:r>
                      <w:rPr>
                        <w:rStyle w:val="Hyperlink"/>
                      </w:rPr>
                      <w:t xml:space="preserve">Agency sector cluster</w:t>
                    </w:r>
                  </w:hyperlink>
                </w:p>
              </w:tc>
              <w:tc>
                <w:tcPr>
                  <w:vAlign w:val="top"/>
                </w:tcPr>
                <w:p>
                  <w:r>
                    <w:t xml:space="preserve">497979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0dfc2f586844036">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543eef8fe14820">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a983b7ffaf4109">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7307a42a9cde41db">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b45c6b8a498423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e19fc242644ff6">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8e8dfaf9e77e4281">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1e97dd5aa954485">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290bbd37ee454900">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f5f81095b0b2447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8cfc44bac19e4cf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64c2f10b26834f2c">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47ff8be8120c453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057431f4575c468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248d78c82b948fc">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233a30c1f64b55">
                    <w:r>
                      <w:rPr>
                        <w:rStyle w:val="Hyperlink"/>
                      </w:rPr>
                      <w:t xml:space="preserve">Age group (carer)</w:t>
                    </w:r>
                  </w:hyperlink>
                </w:p>
              </w:tc>
              <w:tc>
                <w:tcPr>
                  <w:vAlign w:val="top"/>
                </w:tcPr>
                <w:p>
                  <w:r>
                    <w:t xml:space="preserve">498190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83132c003a04842">
                    <w:r>
                      <w:rPr>
                        <w:rStyle w:val="Hyperlink"/>
                      </w:rPr>
                      <w:t xml:space="preserve">Informal carer co-residency</w:t>
                    </w:r>
                  </w:hyperlink>
                </w:p>
              </w:tc>
              <w:tc>
                <w:tcPr>
                  <w:vAlign w:val="top"/>
                </w:tcPr>
                <w:p>
                  <w:r>
                    <w:t xml:space="preserve">270167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0ded2f33d24bd0">
                    <w:r>
                      <w:rPr>
                        <w:rStyle w:val="Hyperlink"/>
                      </w:rPr>
                      <w:t xml:space="preserve">Informal carer primary status</w:t>
                    </w:r>
                  </w:hyperlink>
                </w:p>
              </w:tc>
              <w:tc>
                <w:tcPr>
                  <w:vAlign w:val="top"/>
                </w:tcPr>
                <w:p>
                  <w:r>
                    <w:t xml:space="preserve">323760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d0cec7b3434408">
                    <w:r>
                      <w:rPr>
                        <w:rStyle w:val="Hyperlink"/>
                      </w:rPr>
                      <w:t xml:space="preserve">Interpersonal relationship of carer to care recipient</w:t>
                    </w:r>
                  </w:hyperlink>
                </w:p>
              </w:tc>
              <w:tc>
                <w:tcPr>
                  <w:vAlign w:val="top"/>
                </w:tcPr>
                <w:p>
                  <w:r>
                    <w:t xml:space="preserve">510168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Spouse/partner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Parent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Child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Child-in-law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Friend/neighbour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relationship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e9824f6ec3448aa">
                    <w:r>
                      <w:rPr>
                        <w:rStyle w:val="Hyperlink"/>
                      </w:rPr>
                      <w:t xml:space="preserve">Carer Allowance (Child) receipt indicator </w:t>
                    </w:r>
                  </w:hyperlink>
                </w:p>
              </w:tc>
              <w:tc>
                <w:tcPr>
                  <w:vAlign w:val="top"/>
                </w:tcPr>
                <w:p>
                  <w:r>
                    <w:t xml:space="preserve">323286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f32853741a4819">
                    <w:r>
                      <w:rPr>
                        <w:rStyle w:val="Hyperlink"/>
                      </w:rPr>
                      <w:t xml:space="preserve">Co-existing disability group</w:t>
                    </w:r>
                  </w:hyperlink>
                </w:p>
              </w:tc>
              <w:tc>
                <w:tcPr>
                  <w:vAlign w:val="top"/>
                </w:tcPr>
                <w:p>
                  <w:r>
                    <w:t xml:space="preserve">491624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6fcaa788b14702">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ce67c476a6846d3">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969d685a484f4627">
                    <w:r>
                      <w:rPr>
                        <w:rStyle w:val="Hyperlink"/>
                      </w:rPr>
                      <w:t xml:space="preserve">Effective communication indicator</w:t>
                    </w:r>
                  </w:hyperlink>
                </w:p>
              </w:tc>
              <w:tc>
                <w:tcPr>
                  <w:vAlign w:val="top"/>
                </w:tcPr>
                <w:p>
                  <w:r>
                    <w:t xml:space="preserve">345049</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7af12209664805">
                    <w:r>
                      <w:rPr>
                        <w:rStyle w:val="Hyperlink"/>
                      </w:rPr>
                      <w:t xml:space="preserve">Individual funding indicator</w:t>
                    </w:r>
                  </w:hyperlink>
                </w:p>
              </w:tc>
              <w:tc>
                <w:tcPr>
                  <w:vAlign w:val="top"/>
                </w:tcPr>
                <w:p>
                  <w:r>
                    <w:t xml:space="preserve">323170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62c37db2e644c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c2cdf618a14272">
                    <w:r>
                      <w:rPr>
                        <w:rStyle w:val="Hyperlink"/>
                      </w:rPr>
                      <w:t xml:space="preserve">Informal carer existence indicator</w:t>
                    </w:r>
                  </w:hyperlink>
                </w:p>
              </w:tc>
              <w:tc>
                <w:tcPr>
                  <w:vAlign w:val="top"/>
                </w:tcPr>
                <w:p>
                  <w:r>
                    <w:t xml:space="preserve">320939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a0810ea8ad47b1">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9c9af13f83c4902">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59dd98faa04cb5">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8d384200814e79">
                    <w:r>
                      <w:rPr>
                        <w:rStyle w:val="Hyperlink"/>
                      </w:rPr>
                      <w:t xml:space="preserve">Primary disability group</w:t>
                    </w:r>
                  </w:hyperlink>
                </w:p>
              </w:tc>
              <w:tc>
                <w:tcPr>
                  <w:vAlign w:val="top"/>
                </w:tcPr>
                <w:p>
                  <w:r>
                    <w:t xml:space="preserve">515164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ee4b266c894485">
                    <w:r>
                      <w:rPr>
                        <w:rStyle w:val="Hyperlink"/>
                      </w:rPr>
                      <w:t xml:space="preserve">Residential setting (NDA)</w:t>
                    </w:r>
                  </w:hyperlink>
                </w:p>
              </w:tc>
              <w:tc>
                <w:tcPr>
                  <w:vAlign w:val="top"/>
                </w:tcPr>
                <w:p>
                  <w:r>
                    <w:t xml:space="preserve">386445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b4800df865a44e26">
                    <w:r>
                      <w:rPr>
                        <w:rStyle w:val="Hyperlink"/>
                      </w:rPr>
                      <w:t xml:space="preserve">Main source of income (NDA)</w:t>
                    </w:r>
                  </w:hyperlink>
                </w:p>
              </w:tc>
              <w:tc>
                <w:tcPr>
                  <w:vAlign w:val="top"/>
                </w:tcPr>
                <w:p>
                  <w:r>
                    <w:t xml:space="preserve">386449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25a1a11e4b4483">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b3b212ba9d4976">
                    <w:r>
                      <w:rPr>
                        <w:rStyle w:val="Hyperlink"/>
                      </w:rPr>
                      <w:t xml:space="preserve">Record identifier (NDA)</w:t>
                    </w:r>
                  </w:hyperlink>
                </w:p>
              </w:tc>
              <w:tc>
                <w:tcPr>
                  <w:vAlign w:val="top"/>
                </w:tcPr>
                <w:p>
                  <w:r>
                    <w:t xml:space="preserve">386453</w:t>
                  </w:r>
                </w:p>
              </w:tc>
              <w:tc>
                <w:tcPr>
                  <w:vAlign w:val="top"/>
                </w:tcPr>
                <w:p>
                  <w:r>
                    <w:t xml:space="preserve">Number
[8]</w:t>
                  </w:r>
                </w:p>
              </w:tc>
              <w:tc>
                <w:tcPr>
                  <w:vAlign w:val="top"/>
                </w:tcPr>
                <w:p>
                  <w:r>
                    <w:t xml:space="preserve">N[N(7)]</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8b24d5a69f442cd">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dc37191b82d43ac">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7ea8e6a924a40d1">
                    <w:r>
                      <w:rPr>
                        <w:rStyle w:val="Hyperlink"/>
                      </w:rPr>
                      <w:t xml:space="preserve">Service cessation reason</w:t>
                    </w:r>
                  </w:hyperlink>
                </w:p>
              </w:tc>
              <w:tc>
                <w:tcPr>
                  <w:vAlign w:val="top"/>
                </w:tcPr>
                <w:p>
                  <w:r>
                    <w:t xml:space="preserve">587417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user transitioned to National Disability Insurance Scheme (NDIS)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5026e03ac84912">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355b44b78e74e58">
                    <w:r>
                      <w:rPr>
                        <w:rStyle w:val="Hyperlink"/>
                      </w:rPr>
                      <w:t xml:space="preserve">Full financial year funding indicator</w:t>
                    </w:r>
                  </w:hyperlink>
                </w:p>
              </w:tc>
              <w:tc>
                <w:tcPr>
                  <w:vAlign w:val="top"/>
                </w:tcPr>
                <w:p>
                  <w:r>
                    <w:t xml:space="preserve">322176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a7b96b75f28434a">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908344bd0b949e0">
                    <w:r>
                      <w:rPr>
                        <w:rStyle w:val="Hyperlink"/>
                      </w:rPr>
                      <w:t xml:space="preserve">Geographic location of organisation (SLA)</w:t>
                    </w:r>
                  </w:hyperlink>
                </w:p>
              </w:tc>
              <w:tc>
                <w:tcPr>
                  <w:vAlign w:val="top"/>
                </w:tcPr>
                <w:p>
                  <w:r>
                    <w:t xml:space="preserve">455566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1f6f6eb78bb5463d">
                    <w:r>
                      <w:rPr>
                        <w:rStyle w:val="Hyperlink"/>
                      </w:rPr>
                      <w:t xml:space="preserve">Hours worked—paid staff</w:t>
                    </w:r>
                  </w:hyperlink>
                </w:p>
              </w:tc>
              <w:tc>
                <w:tcPr>
                  <w:vAlign w:val="top"/>
                </w:tcPr>
                <w:p>
                  <w:r>
                    <w:t xml:space="preserve">347870</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25d29faecd843f2">
                    <w:r>
                      <w:rPr>
                        <w:rStyle w:val="Hyperlink"/>
                      </w:rPr>
                      <w:t xml:space="preserve">Hours worked—volunteer/unpaid staff</w:t>
                    </w:r>
                  </w:hyperlink>
                </w:p>
              </w:tc>
              <w:tc>
                <w:tcPr>
                  <w:vAlign w:val="top"/>
                </w:tcPr>
                <w:p>
                  <w:r>
                    <w:t xml:space="preserve">347882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5e5a826e68449a0">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ac8fa91eedad4177">
                    <w:r>
                      <w:rPr>
                        <w:rStyle w:val="Hyperlink"/>
                      </w:rPr>
                      <w:t xml:space="preserve">Service operation days</w:t>
                    </w:r>
                  </w:hyperlink>
                </w:p>
              </w:tc>
              <w:tc>
                <w:tcPr>
                  <w:vAlign w:val="top"/>
                </w:tcPr>
                <w:p>
                  <w:r>
                    <w:t xml:space="preserve">323188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59f742818f4376">
                    <w:r>
                      <w:rPr>
                        <w:rStyle w:val="Hyperlink"/>
                      </w:rPr>
                      <w:t xml:space="preserve">Service operation hours</w:t>
                    </w:r>
                  </w:hyperlink>
                </w:p>
              </w:tc>
              <w:tc>
                <w:tcPr>
                  <w:vAlign w:val="top"/>
                </w:tcPr>
                <w:p>
                  <w:r>
                    <w:t xml:space="preserve">270376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6afd4ad04f44c4">
                    <w:r>
                      <w:rPr>
                        <w:rStyle w:val="Hyperlink"/>
                      </w:rPr>
                      <w:t xml:space="preserve">Service operation weeks</w:t>
                    </w:r>
                  </w:hyperlink>
                </w:p>
              </w:tc>
              <w:tc>
                <w:tcPr>
                  <w:vAlign w:val="top"/>
                </w:tcPr>
                <w:p>
                  <w:r>
                    <w:t xml:space="preserve">270377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5d19e2f4354254">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a646dde2e5044c4">
                    <w:r>
                      <w:rPr>
                        <w:rStyle w:val="Hyperlink"/>
                      </w:rPr>
                      <w:t xml:space="preserve">Service type (NDA)</w:t>
                    </w:r>
                  </w:hyperlink>
                </w:p>
              </w:tc>
              <w:tc>
                <w:tcPr>
                  <w:vAlign w:val="top"/>
                </w:tcPr>
                <w:p>
                  <w:r>
                    <w:t xml:space="preserve">500887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w:t>
                  </w:r>
                </w:p>
              </w:tc>
              <w:tc>
                <w:tcPr>
                  <w:tcMar/>
                  <w:vAlign w:val="top"/>
                </w:tcPr>
                <w:p>
                  <w:hyperlink w:history="true" r:id="R022a5d943b754575">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bl>
          <w:p/>
        </w:tc>
      </w:tr>
    </w:tbl>
    <w:p>
      <w:r>
        <w:br/>
      </w:r>
    </w:p>
    <w:sectPr>
      <w:footerReference xmlns:r="http://schemas.openxmlformats.org/officeDocument/2006/relationships" w:type="default" r:id="Ra3ce878b34944d4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375b72d6e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e878b34944d41" /><Relationship Type="http://schemas.openxmlformats.org/officeDocument/2006/relationships/header" Target="/word/header1.xml" Id="R8714c9c1478c4cb8" /><Relationship Type="http://schemas.openxmlformats.org/officeDocument/2006/relationships/settings" Target="/word/settings.xml" Id="Rda5d1f6be0a74ead" /><Relationship Type="http://schemas.openxmlformats.org/officeDocument/2006/relationships/styles" Target="/word/styles.xml" Id="R6470d21efa88448a" /><Relationship Type="http://schemas.openxmlformats.org/officeDocument/2006/relationships/hyperlink" Target="https://meteor-uat.aihw.gov.au/content/492069" TargetMode="External" Id="R6f6fc5833b164a0c" /><Relationship Type="http://schemas.openxmlformats.org/officeDocument/2006/relationships/hyperlink" Target="https://meteor-uat.aihw.gov.au/content/492131" TargetMode="External" Id="Rf805a3ea65b74e77" /><Relationship Type="http://schemas.openxmlformats.org/officeDocument/2006/relationships/hyperlink" Target="https://meteor-uat.aihw.gov.au/content/386443" TargetMode="External" Id="R6fc43f9f5abe4210" /><Relationship Type="http://schemas.openxmlformats.org/officeDocument/2006/relationships/hyperlink" Target="https://meteor-uat.aihw.gov.au/content/497979" TargetMode="External" Id="R944f96f93f94413f" /><Relationship Type="http://schemas.openxmlformats.org/officeDocument/2006/relationships/hyperlink" Target="https://meteor-uat.aihw.gov.au/content/321004" TargetMode="External" Id="R70dfc2f586844036" /><Relationship Type="http://schemas.openxmlformats.org/officeDocument/2006/relationships/hyperlink" Target="https://meteor-uat.aihw.gov.au/content/322239" TargetMode="External" Id="R2c543eef8fe14820" /><Relationship Type="http://schemas.openxmlformats.org/officeDocument/2006/relationships/hyperlink" Target="https://meteor-uat.aihw.gov.au/content/350937" TargetMode="External" Id="Rf2a983b7ffaf4109" /><Relationship Type="http://schemas.openxmlformats.org/officeDocument/2006/relationships/hyperlink" Target="https://meteor-uat.aihw.gov.au/content/497735" TargetMode="External" Id="R7307a42a9cde41db" /><Relationship Type="http://schemas.openxmlformats.org/officeDocument/2006/relationships/hyperlink" Target="https://meteor-uat.aihw.gov.au/content/430134" TargetMode="External" Id="R7b45c6b8a498423c" /><Relationship Type="http://schemas.openxmlformats.org/officeDocument/2006/relationships/hyperlink" Target="https://meteor-uat.aihw.gov.au/content/497726" TargetMode="External" Id="R64e19fc242644ff6" /><Relationship Type="http://schemas.openxmlformats.org/officeDocument/2006/relationships/hyperlink" Target="https://meteor-uat.aihw.gov.au/content/349510" TargetMode="External" Id="R8e8dfaf9e77e4281" /><Relationship Type="http://schemas.openxmlformats.org/officeDocument/2006/relationships/hyperlink" Target="https://meteor-uat.aihw.gov.au/content/349481" TargetMode="External" Id="R11e97dd5aa954485" /><Relationship Type="http://schemas.openxmlformats.org/officeDocument/2006/relationships/hyperlink" Target="https://meteor-uat.aihw.gov.au/content/349483" TargetMode="External" Id="R290bbd37ee454900" /><Relationship Type="http://schemas.openxmlformats.org/officeDocument/2006/relationships/hyperlink" Target="https://meteor-uat.aihw.gov.au/content/287007" TargetMode="External" Id="Rf5f81095b0b2447a" /><Relationship Type="http://schemas.openxmlformats.org/officeDocument/2006/relationships/hyperlink" Target="https://meteor-uat.aihw.gov.au/content/287316" TargetMode="External" Id="R8cfc44bac19e4cfc" /><Relationship Type="http://schemas.openxmlformats.org/officeDocument/2006/relationships/hyperlink" Target="https://meteor-uat.aihw.gov.au/content/349895" TargetMode="External" Id="R64c2f10b26834f2c" /><Relationship Type="http://schemas.openxmlformats.org/officeDocument/2006/relationships/hyperlink" Target="https://meteor-uat.aihw.gov.au/content/294429" TargetMode="External" Id="R47ff8be8120c4538" /><Relationship Type="http://schemas.openxmlformats.org/officeDocument/2006/relationships/hyperlink" Target="https://meteor-uat.aihw.gov.au/content/429894" TargetMode="External" Id="R057431f4575c468e" /><Relationship Type="http://schemas.openxmlformats.org/officeDocument/2006/relationships/hyperlink" Target="https://meteor-uat.aihw.gov.au/content/323093" TargetMode="External" Id="R0248d78c82b948fc" /><Relationship Type="http://schemas.openxmlformats.org/officeDocument/2006/relationships/hyperlink" Target="https://meteor-uat.aihw.gov.au/content/498190" TargetMode="External" Id="Rf0233a30c1f64b55" /><Relationship Type="http://schemas.openxmlformats.org/officeDocument/2006/relationships/hyperlink" Target="https://meteor-uat.aihw.gov.au/content/270167" TargetMode="External" Id="Ra83132c003a04842" /><Relationship Type="http://schemas.openxmlformats.org/officeDocument/2006/relationships/hyperlink" Target="https://meteor-uat.aihw.gov.au/content/323760" TargetMode="External" Id="R2b0ded2f33d24bd0" /><Relationship Type="http://schemas.openxmlformats.org/officeDocument/2006/relationships/hyperlink" Target="https://meteor-uat.aihw.gov.au/content/510168" TargetMode="External" Id="Rded0cec7b3434408" /><Relationship Type="http://schemas.openxmlformats.org/officeDocument/2006/relationships/hyperlink" Target="https://meteor-uat.aihw.gov.au/content/323286" TargetMode="External" Id="Rfe9824f6ec3448aa" /><Relationship Type="http://schemas.openxmlformats.org/officeDocument/2006/relationships/hyperlink" Target="https://meteor-uat.aihw.gov.au/content/491624" TargetMode="External" Id="Rb1f32853741a4819" /><Relationship Type="http://schemas.openxmlformats.org/officeDocument/2006/relationships/hyperlink" Target="https://meteor-uat.aihw.gov.au/content/345093" TargetMode="External" Id="R6b6fcaa788b14702" /><Relationship Type="http://schemas.openxmlformats.org/officeDocument/2006/relationships/hyperlink" Target="https://meteor-uat.aihw.gov.au/content/459973" TargetMode="External" Id="R2ce67c476a6846d3" /><Relationship Type="http://schemas.openxmlformats.org/officeDocument/2006/relationships/hyperlink" Target="https://meteor-uat.aihw.gov.au/content/345049" TargetMode="External" Id="R969d685a484f4627" /><Relationship Type="http://schemas.openxmlformats.org/officeDocument/2006/relationships/hyperlink" Target="https://meteor-uat.aihw.gov.au/content/323170" TargetMode="External" Id="R627af12209664805" /><Relationship Type="http://schemas.openxmlformats.org/officeDocument/2006/relationships/hyperlink" Target="https://meteor-uat.aihw.gov.au/content/291036" TargetMode="External" Id="R2062c37db2e644c6" /><Relationship Type="http://schemas.openxmlformats.org/officeDocument/2006/relationships/hyperlink" Target="https://meteor-uat.aihw.gov.au/content/320939" TargetMode="External" Id="Raec2cdf618a14272" /><Relationship Type="http://schemas.openxmlformats.org/officeDocument/2006/relationships/hyperlink" Target="https://meteor-uat.aihw.gov.au/content/304294" TargetMode="External" Id="R10a0810ea8ad47b1" /><Relationship Type="http://schemas.openxmlformats.org/officeDocument/2006/relationships/hyperlink" Target="https://meteor-uat.aihw.gov.au/content/270112" TargetMode="External" Id="R29c9af13f83c4902" /><Relationship Type="http://schemas.openxmlformats.org/officeDocument/2006/relationships/hyperlink" Target="https://meteor-uat.aihw.gov.au/content/270385" TargetMode="External" Id="R3959dd98faa04cb5" /><Relationship Type="http://schemas.openxmlformats.org/officeDocument/2006/relationships/hyperlink" Target="https://meteor-uat.aihw.gov.au/content/515164" TargetMode="External" Id="R7e8d384200814e79" /><Relationship Type="http://schemas.openxmlformats.org/officeDocument/2006/relationships/hyperlink" Target="https://meteor-uat.aihw.gov.au/content/386445" TargetMode="External" Id="R42ee4b266c894485" /><Relationship Type="http://schemas.openxmlformats.org/officeDocument/2006/relationships/hyperlink" Target="https://meteor-uat.aihw.gov.au/content/386449" TargetMode="External" Id="Rb4800df865a44e26" /><Relationship Type="http://schemas.openxmlformats.org/officeDocument/2006/relationships/hyperlink" Target="https://meteor-uat.aihw.gov.au/content/323185" TargetMode="External" Id="R4f25a1a11e4b4483" /><Relationship Type="http://schemas.openxmlformats.org/officeDocument/2006/relationships/hyperlink" Target="https://meteor-uat.aihw.gov.au/content/386453" TargetMode="External" Id="R4ab3b212ba9d4976" /><Relationship Type="http://schemas.openxmlformats.org/officeDocument/2006/relationships/hyperlink" Target="https://meteor-uat.aihw.gov.au/content/270160" TargetMode="External" Id="Rd8b24d5a69f442cd" /><Relationship Type="http://schemas.openxmlformats.org/officeDocument/2006/relationships/hyperlink" Target="https://meteor-uat.aihw.gov.au/content/338558" TargetMode="External" Id="R6dc37191b82d43ac" /><Relationship Type="http://schemas.openxmlformats.org/officeDocument/2006/relationships/hyperlink" Target="https://meteor-uat.aihw.gov.au/content/587417" TargetMode="External" Id="Rf7ea8e6a924a40d1" /><Relationship Type="http://schemas.openxmlformats.org/officeDocument/2006/relationships/hyperlink" Target="https://meteor-uat.aihw.gov.au/content/323253" TargetMode="External" Id="R5a5026e03ac84912" /><Relationship Type="http://schemas.openxmlformats.org/officeDocument/2006/relationships/hyperlink" Target="https://meteor-uat.aihw.gov.au/content/322176" TargetMode="External" Id="R9355b44b78e74e58" /><Relationship Type="http://schemas.openxmlformats.org/officeDocument/2006/relationships/hyperlink" Target="https://meteor-uat.aihw.gov.au/content/321039" TargetMode="External" Id="Raa7b96b75f28434a" /><Relationship Type="http://schemas.openxmlformats.org/officeDocument/2006/relationships/hyperlink" Target="https://meteor-uat.aihw.gov.au/content/455566" TargetMode="External" Id="R5908344bd0b949e0" /><Relationship Type="http://schemas.openxmlformats.org/officeDocument/2006/relationships/hyperlink" Target="https://meteor-uat.aihw.gov.au/content/347870" TargetMode="External" Id="R1f6f6eb78bb5463d" /><Relationship Type="http://schemas.openxmlformats.org/officeDocument/2006/relationships/hyperlink" Target="https://meteor-uat.aihw.gov.au/content/347882" TargetMode="External" Id="R225d29faecd843f2" /><Relationship Type="http://schemas.openxmlformats.org/officeDocument/2006/relationships/hyperlink" Target="https://meteor-uat.aihw.gov.au/content/321271" TargetMode="External" Id="R55e5a826e68449a0" /><Relationship Type="http://schemas.openxmlformats.org/officeDocument/2006/relationships/hyperlink" Target="https://meteor-uat.aihw.gov.au/content/323188" TargetMode="External" Id="Rac8fa91eedad4177" /><Relationship Type="http://schemas.openxmlformats.org/officeDocument/2006/relationships/hyperlink" Target="https://meteor-uat.aihw.gov.au/content/270376" TargetMode="External" Id="R9959f742818f4376" /><Relationship Type="http://schemas.openxmlformats.org/officeDocument/2006/relationships/hyperlink" Target="https://meteor-uat.aihw.gov.au/content/270377" TargetMode="External" Id="R846afd4ad04f44c4" /><Relationship Type="http://schemas.openxmlformats.org/officeDocument/2006/relationships/hyperlink" Target="https://meteor-uat.aihw.gov.au/content/495953" TargetMode="External" Id="Ra45d19e2f4354254" /><Relationship Type="http://schemas.openxmlformats.org/officeDocument/2006/relationships/hyperlink" Target="https://meteor-uat.aihw.gov.au/content/500887" TargetMode="External" Id="R1a646dde2e5044c4" /><Relationship Type="http://schemas.openxmlformats.org/officeDocument/2006/relationships/hyperlink" Target="https://meteor-uat.aihw.gov.au/content/495947" TargetMode="External" Id="R022a5d943b754575" /></Relationships>
</file>

<file path=word/_rels/header1.xml.rels>&#65279;<?xml version="1.0" encoding="utf-8"?><Relationships xmlns="http://schemas.openxmlformats.org/package/2006/relationships"><Relationship Type="http://schemas.openxmlformats.org/officeDocument/2006/relationships/image" Target="/media/image.png" Id="R582375b72d6e4dd0" /></Relationships>
</file>