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68e42ca5f74c39"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paid full-time equivalent positions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275ea0bfba4fea">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standalone substance use service paid full-time equivalent positions cluster describes the number and type of full-time equivalent positions for which the standalone substance use service provider organisation paid wages and salaries as at the end of the reporting period.</w:t>
            </w:r>
          </w:p>
          <w:p>
            <w:pPr>
              <w:spacing w:after="160"/>
            </w:pPr>
            <w:r>
              <w:rPr>
                <w:rStyle w:val="row-content-rich-text"/>
              </w:rPr>
              <w:t xml:space="preserve">The full-time equivalent positions are further broken down by Indigenous status, and the sex of Aboriginal and Torres Strait Islander health workers.</w:t>
            </w:r>
          </w:p>
          <w:p>
            <w:pPr>
              <w:spacing w:after="160"/>
            </w:pPr>
            <w:r>
              <w:rPr>
                <w:rStyle w:val="row-content-rich-text"/>
                <w:b/>
              </w:rPr>
              <w:t xml:space="preserve">Aboriginal and Torres Strait Islander standalone substance use full-time equivalent positions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900" w:type="pct"/>
                  <w:vAlign w:val="top"/>
                </w:tcPr>
                <w:p>
                  <w:r>
                    <w:t xml:space="preserve">Aboriginal or Torres Strait Islander</w:t>
                  </w:r>
                </w:p>
              </w:tc>
              <w:tc>
                <w:tcPr>
                  <w:tcW w:w="800" w:type="pct"/>
                  <w:vAlign w:val="top"/>
                </w:tcPr>
                <w:p>
                  <w:r>
                    <w:t xml:space="preserve">Non-Indigenous</w:t>
                  </w:r>
                </w:p>
              </w:tc>
              <w:tc>
                <w:tcPr>
                  <w:tcW w:w="700" w:type="pct"/>
                  <w:vAlign w:val="top"/>
                </w:tcPr>
                <w:p>
                  <w:r>
                    <w:t xml:space="preserve">Total</w:t>
                  </w:r>
                </w:p>
              </w:tc>
            </w:tr>
            <w:tr>
              <w:trPr/>
              <w:tc>
                <w:tcPr>
                  <w:tcW w:w="2500" w:type="pct"/>
                  <w:vAlign w:val="top"/>
                </w:tcPr>
                <w:p>
                  <w:r>
                    <w:t xml:space="preserve">CEOs/Administrators/Managers/Supervisors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Aboriginal and Torres Strait Islander Health Workers  Male</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Aboriginal and Torres Strait Islander Health Workers  Female</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Doctors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Nurses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Substance misuse/drug and alcohol workers/AOD counsellors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Social and emotional wellbeing staff (please specify)</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Medical specialists/Other Allied Health Professionals (please specify)</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Sexual health workers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Traditional healers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Drivers/field officers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Administrative support (e.g. secretaries/receptionists)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Accountants/bookkeepers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Information systems/data staff</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Trainers/educators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Cleaners/cooks/gardeners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Night watchman/security guard</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Other staff (please specify)</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'full-time equivalent' positions are difficult to work out, show details of how often each person works (e.g. a psychologist visits the service one morning session per month).</w:t>
            </w:r>
          </w:p>
          <w:p>
            <w:pPr>
              <w:spacing w:after="160"/>
            </w:pPr>
            <w:r>
              <w:rPr>
                <w:rStyle w:val="row-content-rich-text"/>
              </w:rPr>
              <w:t xml:space="preserve">Inclusions:</w:t>
            </w:r>
          </w:p>
          <w:p>
            <w:pPr>
              <w:pStyle w:val="ListParagraph"/>
              <w:numPr>
                <w:ilvl w:val="0"/>
                <w:numId w:val="2"/>
              </w:numPr>
            </w:pPr>
            <w:r>
              <w:rPr>
                <w:rStyle w:val="row-content-rich-text"/>
              </w:rPr>
              <w:t xml:space="preserve">health and related administrative positions where the service pays the wages/salary/fees through all sources of funding (e.g. Medicare, OATSIH, State/Territory government health departments</w:t>
            </w:r>
          </w:p>
          <w:p>
            <w:pPr>
              <w:pStyle w:val="ListParagraph"/>
              <w:numPr>
                <w:ilvl w:val="0"/>
                <w:numId w:val="2"/>
              </w:numPr>
            </w:pPr>
            <w:r>
              <w:rPr>
                <w:rStyle w:val="row-content-rich-text"/>
              </w:rPr>
              <w:t xml:space="preserve">short term and recurrent funded positions</w:t>
            </w:r>
          </w:p>
          <w:p>
            <w:pPr>
              <w:pStyle w:val="ListParagraph"/>
              <w:numPr>
                <w:ilvl w:val="0"/>
                <w:numId w:val="2"/>
              </w:numPr>
            </w:pPr>
            <w:r>
              <w:rPr>
                <w:rStyle w:val="row-content-rich-text"/>
              </w:rPr>
              <w:t xml:space="preserve">contract workers paid by the service (e.g. cleaners, accountants)</w:t>
            </w:r>
          </w:p>
          <w:p>
            <w:pPr>
              <w:spacing w:after="160"/>
            </w:pPr>
            <w:r>
              <w:rPr>
                <w:rStyle w:val="row-content-rich-text"/>
              </w:rPr>
              <w:t xml:space="preserve">Exclusions:</w:t>
            </w:r>
          </w:p>
          <w:p>
            <w:pPr>
              <w:pStyle w:val="ListParagraph"/>
              <w:numPr>
                <w:ilvl w:val="0"/>
                <w:numId w:val="3"/>
              </w:numPr>
            </w:pPr>
            <w:r>
              <w:rPr>
                <w:rStyle w:val="row-content-rich-text"/>
              </w:rPr>
              <w:t xml:space="preserve">Community development employment projects (CDEP) staff as they are counted as workers </w:t>
            </w:r>
            <w:r>
              <w:rPr>
                <w:rStyle w:val="row-content-rich-text"/>
                <w:i/>
              </w:rPr>
              <w:t xml:space="preserve">not </w:t>
            </w:r>
            <w:r>
              <w:rPr>
                <w:rStyle w:val="row-content-rich-text"/>
              </w:rPr>
              <w:t xml:space="preserve">paid by the service</w:t>
            </w:r>
          </w:p>
          <w:p>
            <w:pPr>
              <w:pStyle w:val="ListParagraph"/>
              <w:numPr>
                <w:ilvl w:val="0"/>
                <w:numId w:val="3"/>
              </w:numPr>
            </w:pPr>
            <w:r>
              <w:rPr>
                <w:rStyle w:val="row-content-rich-text"/>
              </w:rPr>
              <w:t xml:space="preserve">visiting health professionals where payments are not made by the service as they are counted as workers </w:t>
            </w:r>
            <w:r>
              <w:rPr>
                <w:rStyle w:val="row-content-rich-text"/>
                <w:i/>
              </w:rPr>
              <w:t xml:space="preserve">not</w:t>
            </w:r>
            <w:r>
              <w:rPr>
                <w:rStyle w:val="row-content-rich-text"/>
              </w:rPr>
              <w:t xml:space="preserve"> paid by the service</w:t>
            </w:r>
          </w:p>
          <w:p>
            <w:pPr>
              <w:pStyle w:val="ListParagraph"/>
              <w:numPr>
                <w:ilvl w:val="0"/>
                <w:numId w:val="3"/>
              </w:numPr>
            </w:pPr>
            <w:r>
              <w:rPr>
                <w:rStyle w:val="row-content-rich-text"/>
              </w:rPr>
              <w:t xml:space="preserve">staff in other programs such as housing, employment, health and community care (HACC) and childcare.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9d61ec9393d434a">
              <w:r>
                <w:rPr>
                  <w:rStyle w:val="Hyperlink"/>
                </w:rPr>
                <w:t xml:space="preserve">Aboriginal and Torres Strait Islander standalone substance use service paid full-time equivalent positions cluster</w:t>
              </w:r>
            </w:hyperlink>
          </w:p>
          <w:p>
            <w:pPr>
              <w:pStyle w:val="registration-status"/>
              <w:spacing w:before="0" w:after="0"/>
            </w:pPr>
            <w:hyperlink w:history="true" r:id="Rfc243e77c9624f7d">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addfa1ca5c4f62">
              <w:r>
                <w:rPr>
                  <w:rStyle w:val="Hyperlink"/>
                </w:rPr>
                <w:t xml:space="preserve">Aboriginal and Torres Strait Islander standalone substance use services DSS</w:t>
              </w:r>
            </w:hyperlink>
          </w:p>
          <w:p>
            <w:pPr>
              <w:pStyle w:val="registration-status"/>
              <w:spacing w:before="0" w:after="0"/>
            </w:pPr>
            <w:hyperlink w:history="true" r:id="R11dba6a73e994b5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8937280ec714099">
              <w:r>
                <w:rPr>
                  <w:rStyle w:val="Hyperlink"/>
                </w:rPr>
                <w:t xml:space="preserve">Aboriginal and Torres Strait Islander standalone substance use services DSS</w:t>
              </w:r>
            </w:hyperlink>
          </w:p>
          <w:p>
            <w:pPr>
              <w:pStyle w:val="registration-status"/>
              <w:spacing w:before="0" w:after="0"/>
            </w:pPr>
            <w:hyperlink w:history="true" r:id="R8c7a43d2bd1c4934">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89693d7a90a4e1b">
              <w:r>
                <w:rPr>
                  <w:rStyle w:val="Hyperlink"/>
                </w:rPr>
                <w:t xml:space="preserve">Aboriginal and Torres Strait Islander standalone substance use services DSS </w:t>
              </w:r>
            </w:hyperlink>
          </w:p>
          <w:p>
            <w:pPr>
              <w:pStyle w:val="registration-status"/>
              <w:spacing w:before="0" w:after="0"/>
            </w:pPr>
            <w:hyperlink w:history="true" r:id="Rc89dd8513f6f462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cb6b44111040d3">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f630b4f1ea4d05">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refers to the staff of the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474a60979f4f76">
                    <w:r>
                      <w:rPr>
                        <w:rStyle w:val="Hyperlink"/>
                      </w:rPr>
                      <w:t xml:space="preserve">Service provider organisation—staffing categories, standalone substance use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0b7ffc3ea54353">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full-time equivalent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5ab90878d2cf44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568327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9e1b8ece5f41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b90878d2cf44bd" /><Relationship Type="http://schemas.openxmlformats.org/officeDocument/2006/relationships/header" Target="/word/header1.xml" Id="R77667c5d25204399" /><Relationship Type="http://schemas.openxmlformats.org/officeDocument/2006/relationships/settings" Target="/word/settings.xml" Id="R3ca9f05c6ccf430a" /><Relationship Type="http://schemas.openxmlformats.org/officeDocument/2006/relationships/styles" Target="/word/styles.xml" Id="Rd28556e8c1b44e05" /><Relationship Type="http://schemas.openxmlformats.org/officeDocument/2006/relationships/numbering" Target="/word/numbering.xml" Id="R617787f865114780" /><Relationship Type="http://schemas.openxmlformats.org/officeDocument/2006/relationships/hyperlink" Target="https://meteor-uat.aihw.gov.au/RegistrationAuthority/9" TargetMode="External" Id="R27275ea0bfba4fea" /><Relationship Type="http://schemas.openxmlformats.org/officeDocument/2006/relationships/hyperlink" Target="https://meteor-uat.aihw.gov.au/content/677140" TargetMode="External" Id="Rb9d61ec9393d434a" /><Relationship Type="http://schemas.openxmlformats.org/officeDocument/2006/relationships/hyperlink" Target="https://meteor-uat.aihw.gov.au/RegistrationAuthority/9" TargetMode="External" Id="Rfc243e77c9624f7d" /><Relationship Type="http://schemas.openxmlformats.org/officeDocument/2006/relationships/hyperlink" Target="https://meteor-uat.aihw.gov.au/content/664760" TargetMode="External" Id="R07addfa1ca5c4f62" /><Relationship Type="http://schemas.openxmlformats.org/officeDocument/2006/relationships/hyperlink" Target="https://meteor-uat.aihw.gov.au/RegistrationAuthority/9" TargetMode="External" Id="R11dba6a73e994b57" /><Relationship Type="http://schemas.openxmlformats.org/officeDocument/2006/relationships/hyperlink" Target="https://meteor-uat.aihw.gov.au/content/561172" TargetMode="External" Id="Rc8937280ec714099" /><Relationship Type="http://schemas.openxmlformats.org/officeDocument/2006/relationships/hyperlink" Target="https://meteor-uat.aihw.gov.au/RegistrationAuthority/9" TargetMode="External" Id="R8c7a43d2bd1c4934" /><Relationship Type="http://schemas.openxmlformats.org/officeDocument/2006/relationships/hyperlink" Target="https://meteor-uat.aihw.gov.au/content/664861" TargetMode="External" Id="R489693d7a90a4e1b" /><Relationship Type="http://schemas.openxmlformats.org/officeDocument/2006/relationships/hyperlink" Target="https://meteor-uat.aihw.gov.au/RegistrationAuthority/9" TargetMode="External" Id="Rc89dd8513f6f4626" /><Relationship Type="http://schemas.openxmlformats.org/officeDocument/2006/relationships/hyperlink" Target="https://meteor-uat.aihw.gov.au/content/291036" TargetMode="External" Id="R05cb6b44111040d3" /><Relationship Type="http://schemas.openxmlformats.org/officeDocument/2006/relationships/hyperlink" Target="https://meteor-uat.aihw.gov.au/content/270213" TargetMode="External" Id="R38f630b4f1ea4d05" /><Relationship Type="http://schemas.openxmlformats.org/officeDocument/2006/relationships/hyperlink" Target="https://meteor-uat.aihw.gov.au/content/568343" TargetMode="External" Id="R93474a60979f4f76" /><Relationship Type="http://schemas.openxmlformats.org/officeDocument/2006/relationships/hyperlink" Target="https://meteor-uat.aihw.gov.au/content/567307" TargetMode="External" Id="Rca0b7ffc3ea54353" /></Relationships>
</file>

<file path=word/_rels/header1.xml.rels>&#65279;<?xml version="1.0" encoding="utf-8"?><Relationships xmlns="http://schemas.openxmlformats.org/package/2006/relationships"><Relationship Type="http://schemas.openxmlformats.org/officeDocument/2006/relationships/image" Target="/media/image.png" Id="R3b9e1b8ece5f410a" /></Relationships>
</file>