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b0fcf65c4f4803" /></Relationships>
</file>

<file path=word/document.xml><?xml version="1.0" encoding="utf-8"?>
<w:document xmlns:r="http://schemas.openxmlformats.org/officeDocument/2006/relationships" xmlns:w="http://schemas.openxmlformats.org/wordprocessingml/2006/main">
  <w:body>
    <w:p>
      <w:pPr>
        <w:pStyle w:val="Title"/>
      </w:pPr>
      <w:r>
        <w:t>Pre-operative examination of ear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Pre-operative examination of ear cluster</w:t>
      </w:r>
    </w:p>
    <w:tbl>
      <w:tblPr>
        <w:tblStyle w:val="TableGrid"/>
        <w:tblW w:w="0" w:type="auto"/>
        <w:tblCellMar>
          <w:top w:w="0" w:type="dxa"/>
          <w:left w:w="0" w:type="dxa"/>
          <w:bottom w:w="0" w:type="dxa"/>
          <w:right w:w="0" w:type="dxa"/>
        </w:tblCellMar>
      </w:tblPr>
      <w:tblGrid>
        <w:gridCol/>
      </w:tblGrid>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gridCol/>
            </w:tblGrid>
            <w:tr>
              <w:trPr/>
              <w:tc>
                <w:tcPr>
                  <w:vAlign w:val="top"/>
                </w:tcPr>
                <w:p>
                  <w:r>
                    <w:t xml:space="preserve">Seq No.</w:t>
                  </w:r>
                </w:p>
              </w:tc>
              <w:tc>
                <w:tcPr>
                  <w:vAlign w:val="top"/>
                </w:tcPr>
                <w:p>
                  <w:r>
                    <w:t xml:space="preserve">Metadata item</w:t>
                  </w:r>
                </w:p>
              </w:tc>
              <w:tc>
                <w:tcPr>
                  <w:vAlign w:val="top"/>
                </w:tcPr>
                <w:p>
                  <w:r>
                    <w:t xml:space="preserve">METEOR identifier</w:t>
                  </w:r>
                </w:p>
              </w:tc>
              <w:tc>
                <w:tcPr>
                  <w:vAlign w:val="top"/>
                </w:tcPr>
                <w:p>
                  <w:r>
                    <w:t xml:space="preserve">Data Type [Length]</w:t>
                  </w:r>
                </w:p>
              </w:tc>
              <w:tc>
                <w:tcPr>
                  <w:vAlign w:val="top"/>
                </w:tcPr>
                <w:p>
                  <w:r>
                    <w:t xml:space="preserve">Value &amp; Meaning</w:t>
                  </w:r>
                </w:p>
              </w:tc>
            </w:tr>
            <w:tr>
              <w:trPr/>
              <w:tc>
                <w:tcPr>
                  <w:tcMar>
                    <w:right w:w="29" w:type="dxa"/>
                  </w:tcMar>
                  <w:vAlign w:val="top"/>
                </w:tcPr>
                <w:p>
                  <w:pPr>
                    <w:keepNext/>
                    <w:jc w:val="center"/>
                  </w:pPr>
                  <w:r>
                    <w:t xml:space="preserve">1</w:t>
                  </w:r>
                </w:p>
              </w:tc>
              <w:tc>
                <w:tcPr>
                  <w:tcMar/>
                  <w:vAlign w:val="top"/>
                </w:tcPr>
                <w:p>
                  <w:hyperlink w:history="true" r:id="R1c4df17531874b24">
                    <w:r>
                      <w:rPr>
                        <w:rStyle w:val="Hyperlink"/>
                      </w:rPr>
                      <w:t xml:space="preserve">Side of ear </w:t>
                    </w:r>
                  </w:hyperlink>
                </w:p>
              </w:tc>
              <w:tc>
                <w:tcPr>
                  <w:vAlign w:val="top"/>
                </w:tcPr>
                <w:p>
                  <w:r>
                    <w:t xml:space="preserve">586306</w:t>
                  </w:r>
                </w:p>
              </w:tc>
              <w:tc>
                <w:tcPr>
                  <w:vAlign w:val="top"/>
                </w:tcPr>
                <w:p>
                  <w:r>
                    <w:t xml:space="preserve">String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L </w:t>
                        </w:r>
                      </w:p>
                    </w:tc>
                    <w:tc>
                      <w:tcPr>
                        <w:tcBorders>
                          <w:top w:val="none" w:color="000000" w:sz="0"/>
                          <w:left w:val="none" w:color="000000" w:sz="0"/>
                          <w:bottom w:val="none" w:color="000000" w:sz="0"/>
                          <w:right w:val="none" w:color="000000" w:sz="0"/>
                        </w:tcBorders>
                        <w:tcMar/>
                        <w:vAlign w:val="top"/>
                      </w:tcPr>
                      <w:p>
                        <w:r>
                          <w:t xml:space="preserve">Left</w:t>
                        </w:r>
                      </w:p>
                    </w:tc>
                  </w:tr>
                  <w:tr>
                    <w:trPr/>
                    <w:tc>
                      <w:tcPr>
                        <w:tcW w:w="1000" w:type="pct"/>
                        <w:tcBorders>
                          <w:top w:val="none" w:color="000000" w:sz="0"/>
                          <w:left w:val="none" w:color="000000" w:sz="0"/>
                          <w:bottom w:val="none" w:color="000000" w:sz="0"/>
                          <w:right w:val="none" w:color="000000" w:sz="0"/>
                        </w:tcBorders>
                        <w:tcMar/>
                        <w:vAlign w:val="top"/>
                      </w:tcPr>
                      <w:p>
                        <w:r>
                          <w:t xml:space="preserve">R </w:t>
                        </w:r>
                      </w:p>
                    </w:tc>
                    <w:tc>
                      <w:tcPr>
                        <w:tcBorders>
                          <w:top w:val="none" w:color="000000" w:sz="0"/>
                          <w:left w:val="none" w:color="000000" w:sz="0"/>
                          <w:bottom w:val="none" w:color="000000" w:sz="0"/>
                          <w:right w:val="none" w:color="000000" w:sz="0"/>
                        </w:tcBorders>
                        <w:tcMar/>
                        <w:vAlign w:val="top"/>
                      </w:tcPr>
                      <w:p>
                        <w:r>
                          <w:t xml:space="preserve">Right</w:t>
                        </w:r>
                      </w:p>
                    </w:tc>
                  </w:tr>
                </w:tbl>
                <w:p/>
              </w:tc>
            </w:tr>
            <w:tr>
              <w:trPr/>
              <w:tc>
                <w:tcPr>
                  <w:tcMar>
                    <w:right w:w="29" w:type="dxa"/>
                  </w:tcMar>
                  <w:vAlign w:val="top"/>
                </w:tcPr>
                <w:p>
                  <w:pPr>
                    <w:keepNext/>
                    <w:jc w:val="center"/>
                  </w:pPr>
                  <w:r>
                    <w:t xml:space="preserve">2</w:t>
                  </w:r>
                </w:p>
              </w:tc>
              <w:tc>
                <w:tcPr>
                  <w:tcMar/>
                  <w:vAlign w:val="top"/>
                </w:tcPr>
                <w:p>
                  <w:hyperlink w:history="true" r:id="Rcdb2810932954364">
                    <w:r>
                      <w:rPr>
                        <w:rStyle w:val="Hyperlink"/>
                      </w:rPr>
                      <w:t xml:space="preserve">Ear assessment indicator</w:t>
                    </w:r>
                  </w:hyperlink>
                </w:p>
              </w:tc>
              <w:tc>
                <w:tcPr>
                  <w:vAlign w:val="top"/>
                </w:tcPr>
                <w:p>
                  <w:r>
                    <w:t xml:space="preserve">567690</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3</w:t>
                  </w:r>
                </w:p>
              </w:tc>
              <w:tc>
                <w:tcPr>
                  <w:tcMar/>
                  <w:vAlign w:val="top"/>
                </w:tcPr>
                <w:p>
                  <w:hyperlink w:history="true" r:id="R57f6b2568f75432d">
                    <w:r>
                      <w:rPr>
                        <w:rStyle w:val="Hyperlink"/>
                      </w:rPr>
                      <w:t xml:space="preserve">External auditory meatus condition</w:t>
                    </w:r>
                  </w:hyperlink>
                </w:p>
              </w:tc>
              <w:tc>
                <w:tcPr>
                  <w:vAlign w:val="top"/>
                </w:tcPr>
                <w:p>
                  <w:r>
                    <w:t xml:space="preserve">567772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Clear</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Wax/debris</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Discharge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Foreign body</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Otitis externa</w:t>
                        </w:r>
                      </w:p>
                    </w:tc>
                  </w:tr>
                  <w:tr>
                    <w:trPr/>
                    <w:tc>
                      <w:tcPr>
                        <w:tcW w:w="1000" w:type="pct"/>
                        <w:tcBorders>
                          <w:top w:val="none" w:color="000000" w:sz="0"/>
                          <w:left w:val="none" w:color="000000" w:sz="0"/>
                          <w:bottom w:val="none" w:color="000000" w:sz="0"/>
                          <w:right w:val="none" w:color="000000" w:sz="0"/>
                        </w:tcBorders>
                        <w:tcMar/>
                        <w:vAlign w:val="top"/>
                      </w:tcPr>
                      <w:p>
                        <w:r>
                          <w:t xml:space="preserve">88 </w:t>
                        </w:r>
                      </w:p>
                    </w:tc>
                    <w:tc>
                      <w:tcPr>
                        <w:tcBorders>
                          <w:top w:val="none" w:color="000000" w:sz="0"/>
                          <w:left w:val="none" w:color="000000" w:sz="0"/>
                          <w:bottom w:val="none" w:color="000000" w:sz="0"/>
                          <w:right w:val="none" w:color="000000" w:sz="0"/>
                        </w:tcBorders>
                        <w:tcMar/>
                        <w:vAlign w:val="top"/>
                      </w:tcPr>
                      <w:p>
                        <w:r>
                          <w:t xml:space="preserve">Other</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4</w:t>
                  </w:r>
                </w:p>
              </w:tc>
              <w:tc>
                <w:tcPr>
                  <w:tcMar/>
                  <w:vAlign w:val="top"/>
                </w:tcPr>
                <w:p>
                  <w:hyperlink w:history="true" r:id="R12af67fa2a604103">
                    <w:r>
                      <w:rPr>
                        <w:rStyle w:val="Hyperlink"/>
                      </w:rPr>
                      <w:t xml:space="preserve">Intact tympanic membrane indicator</w:t>
                    </w:r>
                  </w:hyperlink>
                </w:p>
              </w:tc>
              <w:tc>
                <w:tcPr>
                  <w:vAlign w:val="top"/>
                </w:tcPr>
                <w:p>
                  <w:r>
                    <w:t xml:space="preserve">682256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5</w:t>
                  </w:r>
                </w:p>
              </w:tc>
              <w:tc>
                <w:tcPr>
                  <w:tcMar/>
                  <w:vAlign w:val="top"/>
                </w:tcPr>
                <w:p>
                  <w:hyperlink w:history="true" r:id="Rd9003a74d360473d">
                    <w:r>
                      <w:rPr>
                        <w:rStyle w:val="Hyperlink"/>
                      </w:rPr>
                      <w:t xml:space="preserve">Intact tympanic membrane condition</w:t>
                    </w:r>
                  </w:hyperlink>
                </w:p>
              </w:tc>
              <w:tc>
                <w:tcPr>
                  <w:vAlign w:val="top"/>
                </w:tcPr>
                <w:p>
                  <w:r>
                    <w:t xml:space="preserve">507838</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Scarred/abnormal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Dull</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Immobile</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Retracted</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6</w:t>
                  </w:r>
                </w:p>
              </w:tc>
              <w:tc>
                <w:tcPr>
                  <w:tcMar/>
                  <w:vAlign w:val="top"/>
                </w:tcPr>
                <w:p>
                  <w:hyperlink w:history="true" r:id="Rc00ef2d3ab2240e5">
                    <w:r>
                      <w:rPr>
                        <w:rStyle w:val="Hyperlink"/>
                      </w:rPr>
                      <w:t xml:space="preserve">Tympanic membrane perforation indicator</w:t>
                    </w:r>
                  </w:hyperlink>
                </w:p>
              </w:tc>
              <w:tc>
                <w:tcPr>
                  <w:vAlign w:val="top"/>
                </w:tcPr>
                <w:p>
                  <w:r>
                    <w:t xml:space="preserve">507593</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7</w:t>
                  </w:r>
                </w:p>
              </w:tc>
              <w:tc>
                <w:tcPr>
                  <w:tcMar/>
                  <w:vAlign w:val="top"/>
                </w:tcPr>
                <w:p>
                  <w:hyperlink w:history="true" r:id="Rab836a78f6834dd6">
                    <w:r>
                      <w:rPr>
                        <w:rStyle w:val="Hyperlink"/>
                      </w:rPr>
                      <w:t xml:space="preserve">Ear grommet indicator</w:t>
                    </w:r>
                  </w:hyperlink>
                </w:p>
              </w:tc>
              <w:tc>
                <w:tcPr>
                  <w:vAlign w:val="top"/>
                </w:tcPr>
                <w:p>
                  <w:r>
                    <w:t xml:space="preserve">505157</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Yes</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No</w:t>
                        </w:r>
                      </w:p>
                    </w:tc>
                  </w:tr>
                  <w:tr>
                    <w:trPr/>
                    <w:tc>
                      <w:tcPr>
                        <w:tcW w:w="1000" w:type="pct"/>
                        <w:tcBorders>
                          <w:top w:val="none" w:color="000000" w:sz="0"/>
                          <w:left w:val="none" w:color="000000" w:sz="0"/>
                          <w:bottom w:val="none" w:color="000000" w:sz="0"/>
                          <w:right w:val="none" w:color="000000" w:sz="0"/>
                        </w:tcBorders>
                        <w:tcMar/>
                        <w:vAlign w:val="top"/>
                      </w:tcPr>
                      <w:p>
                        <w:r>
                          <w:t xml:space="preserve">7 </w:t>
                        </w:r>
                      </w:p>
                    </w:tc>
                    <w:tc>
                      <w:tcPr>
                        <w:tcBorders>
                          <w:top w:val="none" w:color="000000" w:sz="0"/>
                          <w:left w:val="none" w:color="000000" w:sz="0"/>
                          <w:bottom w:val="none" w:color="000000" w:sz="0"/>
                          <w:right w:val="none" w:color="000000" w:sz="0"/>
                        </w:tcBorders>
                        <w:tcMar/>
                        <w:vAlign w:val="top"/>
                      </w:tcPr>
                      <w:p>
                        <w:r>
                          <w:t xml:space="preserve">Not applicable</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8</w:t>
                  </w:r>
                </w:p>
              </w:tc>
              <w:tc>
                <w:tcPr>
                  <w:tcMar/>
                  <w:vAlign w:val="top"/>
                </w:tcPr>
                <w:p>
                  <w:hyperlink w:history="true" r:id="R1592c74279844b84">
                    <w:r>
                      <w:rPr>
                        <w:rStyle w:val="Hyperlink"/>
                      </w:rPr>
                      <w:t xml:space="preserve">Tympanic membrane perforation location (code)</w:t>
                    </w:r>
                  </w:hyperlink>
                </w:p>
              </w:tc>
              <w:tc>
                <w:tcPr>
                  <w:vAlign w:val="top"/>
                </w:tcPr>
                <w:p>
                  <w:r>
                    <w:t xml:space="preserve">505084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Central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Marginal</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Attic</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9</w:t>
                  </w:r>
                </w:p>
              </w:tc>
              <w:tc>
                <w:tcPr>
                  <w:tcMar/>
                  <w:vAlign w:val="top"/>
                </w:tcPr>
                <w:p>
                  <w:hyperlink w:history="true" r:id="Recce0ef5e10944eb">
                    <w:r>
                      <w:rPr>
                        <w:rStyle w:val="Hyperlink"/>
                      </w:rPr>
                      <w:t xml:space="preserve">Tympanic membrane perforation status </w:t>
                    </w:r>
                  </w:hyperlink>
                </w:p>
              </w:tc>
              <w:tc>
                <w:tcPr>
                  <w:vAlign w:val="top"/>
                </w:tcPr>
                <w:p>
                  <w:r>
                    <w:t xml:space="preserve">498146</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Wet </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Dry </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10</w:t>
                  </w:r>
                </w:p>
              </w:tc>
              <w:tc>
                <w:tcPr>
                  <w:tcMar/>
                  <w:vAlign w:val="top"/>
                </w:tcPr>
                <w:p>
                  <w:hyperlink w:history="true" r:id="R20f294d46ed746f7">
                    <w:r>
                      <w:rPr>
                        <w:rStyle w:val="Hyperlink"/>
                      </w:rPr>
                      <w:t xml:space="preserve">Tympanic membrane perforation wet condition </w:t>
                    </w:r>
                  </w:hyperlink>
                </w:p>
              </w:tc>
              <w:tc>
                <w:tcPr>
                  <w:vAlign w:val="top"/>
                </w:tcPr>
                <w:p>
                  <w:r>
                    <w:t xml:space="preserve">534464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Purulent</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Moist (serous)</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w:t>
                        </w:r>
                      </w:p>
                    </w:tc>
                  </w:tr>
                </w:tbl>
                <w:p/>
              </w:tc>
            </w:tr>
            <w:tr>
              <w:trPr/>
              <w:tc>
                <w:tcPr>
                  <w:tcMar>
                    <w:right w:w="29" w:type="dxa"/>
                  </w:tcMar>
                  <w:vAlign w:val="top"/>
                </w:tcPr>
                <w:p>
                  <w:pPr>
                    <w:keepNext/>
                    <w:jc w:val="center"/>
                  </w:pPr>
                  <w:r>
                    <w:t xml:space="preserve">11</w:t>
                  </w:r>
                </w:p>
              </w:tc>
              <w:tc>
                <w:tcPr>
                  <w:tcMar/>
                  <w:vAlign w:val="top"/>
                </w:tcPr>
                <w:p>
                  <w:hyperlink w:history="true" r:id="Raf5dc8430e174295">
                    <w:r>
                      <w:rPr>
                        <w:rStyle w:val="Hyperlink"/>
                      </w:rPr>
                      <w:t xml:space="preserve">Tympanic membrane perforation size</w:t>
                    </w:r>
                  </w:hyperlink>
                </w:p>
              </w:tc>
              <w:tc>
                <w:tcPr>
                  <w:vAlign w:val="top"/>
                </w:tcPr>
                <w:p>
                  <w:r>
                    <w:t xml:space="preserve">567834</w:t>
                  </w:r>
                </w:p>
              </w:tc>
              <w:tc>
                <w:tcPr>
                  <w:vAlign w:val="top"/>
                </w:tcPr>
                <w:p>
                  <w:r>
                    <w:t xml:space="preserve">Number
[1]</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Pinhole</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Less than 40% of tympanic membrane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Greater than 40% of tympanic membrane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Subtotal/total</w:t>
                        </w:r>
                      </w:p>
                    </w:tc>
                  </w:tr>
                  <w:tr>
                    <w:trPr/>
                    <w:tc>
                      <w:tcPr>
                        <w:tcW w:w="1000" w:type="pct"/>
                        <w:tcBorders>
                          <w:top w:val="none" w:color="000000" w:sz="0"/>
                          <w:left w:val="none" w:color="000000" w:sz="0"/>
                          <w:bottom w:val="none" w:color="000000" w:sz="0"/>
                          <w:right w:val="none" w:color="000000" w:sz="0"/>
                        </w:tcBorders>
                        <w:tcMar/>
                        <w:vAlign w:val="top"/>
                      </w:tcPr>
                      <w:p>
                        <w:r>
                          <w:t xml:space="preserve">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12</w:t>
                  </w:r>
                </w:p>
              </w:tc>
              <w:tc>
                <w:tcPr>
                  <w:tcMar/>
                  <w:vAlign w:val="top"/>
                </w:tcPr>
                <w:p>
                  <w:hyperlink w:history="true" r:id="R43346874fdff40b1">
                    <w:r>
                      <w:rPr>
                        <w:rStyle w:val="Hyperlink"/>
                      </w:rPr>
                      <w:t xml:space="preserve">Pre-operative diagnosis cluster</w:t>
                    </w:r>
                  </w:hyperlink>
                </w:p>
              </w:tc>
              <w:tc>
                <w:tcPr>
                  <w:vAlign w:val="top"/>
                </w:tcPr>
                <w:p>
                  <w:r>
                    <w:t xml:space="preserve">567842</w:t>
                  </w:r>
                </w:p>
              </w:tc>
              <w:tc>
                <w:tcPr>
                  <w:vAlign w:val="top"/>
                </w:tcPr>
                <w:p>
                  <w:r>
                    <w:t xml:space="preserve"> </w:t>
                  </w:r>
                </w:p>
              </w:tc>
              <w:tc>
                <w:tcPr>
                  <w:vAlign w:val="top"/>
                </w:tcPr>
                <w:p>
                  <w:r>
                    <w:t xml:space="preserve"> </w:t>
                  </w:r>
                </w:p>
              </w:tc>
            </w:tr>
            <w:tr>
              <w:trPr/>
              <w:tc>
                <w:tcPr>
                  <w:tcMar>
                    <w:right w:w="29" w:type="dxa"/>
                  </w:tcMar>
                  <w:vAlign w:val="top"/>
                </w:tcPr>
                <w:p>
                  <w:pPr>
                    <w:keepNext/>
                    <w:jc w:val="center"/>
                  </w:pPr>
                  <w:r>
                    <w:t xml:space="preserve">      1</w:t>
                  </w:r>
                </w:p>
              </w:tc>
              <w:tc>
                <w:tcPr>
                  <w:tcMar>
                    <w:left w:w="225" w:type="dxa"/>
                  </w:tcMar>
                  <w:vAlign w:val="top"/>
                </w:tcPr>
                <w:p>
                  <w:hyperlink w:history="true" r:id="R7d5e1492d646481b">
                    <w:r>
                      <w:rPr>
                        <w:rStyle w:val="Hyperlink"/>
                      </w:rPr>
                      <w:t xml:space="preserve">Pre-operative ear health diagnosis  </w:t>
                    </w:r>
                  </w:hyperlink>
                </w:p>
              </w:tc>
              <w:tc>
                <w:tcPr>
                  <w:vAlign w:val="top"/>
                </w:tcPr>
                <w:p>
                  <w:r>
                    <w:t xml:space="preserve">567913</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Chronic otitis media (COM)</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Otitis media with effusion (OME)</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Acute otitis media (AOM) </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Acute otitis media (AOM) with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6 </w:t>
                        </w:r>
                      </w:p>
                    </w:tc>
                    <w:tc>
                      <w:tcPr>
                        <w:tcBorders>
                          <w:top w:val="none" w:color="000000" w:sz="0"/>
                          <w:left w:val="none" w:color="000000" w:sz="0"/>
                          <w:bottom w:val="none" w:color="000000" w:sz="0"/>
                          <w:right w:val="none" w:color="000000" w:sz="0"/>
                        </w:tcBorders>
                        <w:tcMar/>
                        <w:vAlign w:val="top"/>
                      </w:tcPr>
                      <w:p>
                        <w:r>
                          <w:t xml:space="preserve">Other ear health diagnosis</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r>
              <w:trPr/>
              <w:tc>
                <w:tcPr>
                  <w:tcMar>
                    <w:right w:w="29" w:type="dxa"/>
                  </w:tcMar>
                  <w:vAlign w:val="top"/>
                </w:tcPr>
                <w:p>
                  <w:pPr>
                    <w:keepNext/>
                    <w:jc w:val="center"/>
                  </w:pPr>
                  <w:r>
                    <w:t xml:space="preserve">      2</w:t>
                  </w:r>
                </w:p>
              </w:tc>
              <w:tc>
                <w:tcPr>
                  <w:tcMar>
                    <w:left w:w="225" w:type="dxa"/>
                  </w:tcMar>
                  <w:vAlign w:val="top"/>
                </w:tcPr>
                <w:p>
                  <w:hyperlink w:history="true" r:id="Rea9a21d5c9ff40d5">
                    <w:r>
                      <w:rPr>
                        <w:rStyle w:val="Hyperlink"/>
                      </w:rPr>
                      <w:t xml:space="preserve">Pre-operative ear health diagnosis (text)</w:t>
                    </w:r>
                  </w:hyperlink>
                </w:p>
              </w:tc>
              <w:tc>
                <w:tcPr>
                  <w:vAlign w:val="top"/>
                </w:tcPr>
                <w:p>
                  <w:r>
                    <w:t xml:space="preserve">567930</w:t>
                  </w:r>
                </w:p>
              </w:tc>
              <w:tc>
                <w:tcPr>
                  <w:vAlign w:val="top"/>
                </w:tcPr>
                <w:p>
                  <w:r>
                    <w:t xml:space="preserve">String
[100]</w:t>
                  </w:r>
                </w:p>
              </w:tc>
              <w:tc>
                <w:tcPr>
                  <w:vAlign w:val="top"/>
                </w:tcPr>
                <w:p>
                  <w:r>
                    <w:t xml:space="preserve">X[X(99)]</w:t>
                  </w:r>
                  <w:r>
                    <w:br/>
                  </w:r>
                </w:p>
                <w:p>
                  <w:r>
                    <w:t xml:space="preserve">A combination of alphanumeric characters.</w:t>
                  </w:r>
                </w:p>
              </w:tc>
            </w:tr>
            <w:tr>
              <w:trPr/>
              <w:tc>
                <w:tcPr>
                  <w:tcMar>
                    <w:right w:w="29" w:type="dxa"/>
                  </w:tcMar>
                  <w:vAlign w:val="top"/>
                </w:tcPr>
                <w:p>
                  <w:pPr>
                    <w:keepNext/>
                    <w:jc w:val="center"/>
                  </w:pPr>
                  <w:r>
                    <w:t xml:space="preserve">      3</w:t>
                  </w:r>
                </w:p>
              </w:tc>
              <w:tc>
                <w:tcPr>
                  <w:tcMar>
                    <w:left w:w="225" w:type="dxa"/>
                  </w:tcMar>
                  <w:vAlign w:val="top"/>
                </w:tcPr>
                <w:p>
                  <w:hyperlink w:history="true" r:id="Rb3e13b1158f94cac">
                    <w:r>
                      <w:rPr>
                        <w:rStyle w:val="Hyperlink"/>
                      </w:rPr>
                      <w:t xml:space="preserve">Chronic otitis media type </w:t>
                    </w:r>
                  </w:hyperlink>
                </w:p>
              </w:tc>
              <w:tc>
                <w:tcPr>
                  <w:vAlign w:val="top"/>
                </w:tcPr>
                <w:p>
                  <w:r>
                    <w:t xml:space="preserve">567962</w:t>
                  </w:r>
                </w:p>
              </w:tc>
              <w:tc>
                <w:tcPr>
                  <w:vAlign w:val="top"/>
                </w:tcPr>
                <w:p>
                  <w:r>
                    <w:t xml:space="preserve">Number
[2]</w:t>
                  </w:r>
                </w:p>
              </w:tc>
              <w:tc>
                <w:tcPr>
                  <w:vAlign w:val="top"/>
                </w:tcPr>
                <w:tbl>
                  <w:tblPr>
                    <w:tblStyle w:val="InnerTable"/>
                    <w:tblW w:w="5000" w:type="pct"/>
                    <w:tblCellMar>
                      <w:top w:w="0" w:type="dxa"/>
                      <w:left w:w="0" w:type="dxa"/>
                      <w:bottom w:w="0" w:type="dxa"/>
                      <w:right w:w="0" w:type="dxa"/>
                    </w:tblCellMar>
                  </w:tblPr>
                  <w:tblGrid>
                    <w:gridCol/>
                    <w:gridCol/>
                  </w:tblGrid>
                  <w:tr>
                    <w:trPr/>
                    <w:tc>
                      <w:tcPr>
                        <w:tcW w:w="1000" w:type="pct"/>
                        <w:tcBorders>
                          <w:top w:val="none" w:color="000000" w:sz="0"/>
                          <w:left w:val="none" w:color="000000" w:sz="0"/>
                          <w:bottom w:val="none" w:color="000000" w:sz="0"/>
                          <w:right w:val="none" w:color="000000" w:sz="0"/>
                        </w:tcBorders>
                        <w:tcMar/>
                        <w:vAlign w:val="top"/>
                      </w:tcPr>
                      <w:p>
                        <w:r>
                          <w:t xml:space="preserve">1 </w:t>
                        </w:r>
                      </w:p>
                    </w:tc>
                    <w:tc>
                      <w:tcPr>
                        <w:tcBorders>
                          <w:top w:val="none" w:color="000000" w:sz="0"/>
                          <w:left w:val="none" w:color="000000" w:sz="0"/>
                          <w:bottom w:val="none" w:color="000000" w:sz="0"/>
                          <w:right w:val="none" w:color="000000" w:sz="0"/>
                        </w:tcBorders>
                        <w:tcMar/>
                        <w:vAlign w:val="top"/>
                      </w:tcPr>
                      <w:p>
                        <w:r>
                          <w:t xml:space="preserve">Healed (intact abnormal)</w:t>
                        </w:r>
                      </w:p>
                    </w:tc>
                  </w:tr>
                  <w:tr>
                    <w:trPr/>
                    <w:tc>
                      <w:tcPr>
                        <w:tcW w:w="1000" w:type="pct"/>
                        <w:tcBorders>
                          <w:top w:val="none" w:color="000000" w:sz="0"/>
                          <w:left w:val="none" w:color="000000" w:sz="0"/>
                          <w:bottom w:val="none" w:color="000000" w:sz="0"/>
                          <w:right w:val="none" w:color="000000" w:sz="0"/>
                        </w:tcBorders>
                        <w:tcMar/>
                        <w:vAlign w:val="top"/>
                      </w:tcPr>
                      <w:p>
                        <w:r>
                          <w:t xml:space="preserve">2 </w:t>
                        </w:r>
                      </w:p>
                    </w:tc>
                    <w:tc>
                      <w:tcPr>
                        <w:tcBorders>
                          <w:top w:val="none" w:color="000000" w:sz="0"/>
                          <w:left w:val="none" w:color="000000" w:sz="0"/>
                          <w:bottom w:val="none" w:color="000000" w:sz="0"/>
                          <w:right w:val="none" w:color="000000" w:sz="0"/>
                        </w:tcBorders>
                        <w:tcMar/>
                        <w:vAlign w:val="top"/>
                      </w:tcPr>
                      <w:p>
                        <w:r>
                          <w:t xml:space="preserve">Active (purulent discharge)</w:t>
                        </w:r>
                      </w:p>
                    </w:tc>
                  </w:tr>
                  <w:tr>
                    <w:trPr/>
                    <w:tc>
                      <w:tcPr>
                        <w:tcW w:w="1000" w:type="pct"/>
                        <w:tcBorders>
                          <w:top w:val="none" w:color="000000" w:sz="0"/>
                          <w:left w:val="none" w:color="000000" w:sz="0"/>
                          <w:bottom w:val="none" w:color="000000" w:sz="0"/>
                          <w:right w:val="none" w:color="000000" w:sz="0"/>
                        </w:tcBorders>
                        <w:tcMar/>
                        <w:vAlign w:val="top"/>
                      </w:tcPr>
                      <w:p>
                        <w:r>
                          <w:t xml:space="preserve">3 </w:t>
                        </w:r>
                      </w:p>
                    </w:tc>
                    <w:tc>
                      <w:tcPr>
                        <w:tcBorders>
                          <w:top w:val="none" w:color="000000" w:sz="0"/>
                          <w:left w:val="none" w:color="000000" w:sz="0"/>
                          <w:bottom w:val="none" w:color="000000" w:sz="0"/>
                          <w:right w:val="none" w:color="000000" w:sz="0"/>
                        </w:tcBorders>
                        <w:tcMar/>
                        <w:vAlign w:val="top"/>
                      </w:tcPr>
                      <w:p>
                        <w:r>
                          <w:t xml:space="preserve">Inactive (dry or serous perforation)</w:t>
                        </w:r>
                      </w:p>
                    </w:tc>
                  </w:tr>
                  <w:tr>
                    <w:trPr/>
                    <w:tc>
                      <w:tcPr>
                        <w:tcW w:w="1000" w:type="pct"/>
                        <w:tcBorders>
                          <w:top w:val="none" w:color="000000" w:sz="0"/>
                          <w:left w:val="none" w:color="000000" w:sz="0"/>
                          <w:bottom w:val="none" w:color="000000" w:sz="0"/>
                          <w:right w:val="none" w:color="000000" w:sz="0"/>
                        </w:tcBorders>
                        <w:tcMar/>
                        <w:vAlign w:val="top"/>
                      </w:tcPr>
                      <w:p>
                        <w:r>
                          <w:t xml:space="preserve">4 </w:t>
                        </w:r>
                      </w:p>
                    </w:tc>
                    <w:tc>
                      <w:tcPr>
                        <w:tcBorders>
                          <w:top w:val="none" w:color="000000" w:sz="0"/>
                          <w:left w:val="none" w:color="000000" w:sz="0"/>
                          <w:bottom w:val="none" w:color="000000" w:sz="0"/>
                          <w:right w:val="none" w:color="000000" w:sz="0"/>
                        </w:tcBorders>
                        <w:tcMar/>
                        <w:vAlign w:val="top"/>
                      </w:tcPr>
                      <w:p>
                        <w:r>
                          <w:t xml:space="preserve">Squamous</w:t>
                        </w:r>
                      </w:p>
                    </w:tc>
                  </w:tr>
                  <w:tr>
                    <w:trPr/>
                    <w:tc>
                      <w:tcPr>
                        <w:tcW w:w="1000" w:type="pct"/>
                        <w:tcBorders>
                          <w:top w:val="none" w:color="000000" w:sz="0"/>
                          <w:left w:val="none" w:color="000000" w:sz="0"/>
                          <w:bottom w:val="none" w:color="000000" w:sz="0"/>
                          <w:right w:val="none" w:color="000000" w:sz="0"/>
                        </w:tcBorders>
                        <w:tcMar/>
                        <w:vAlign w:val="top"/>
                      </w:tcPr>
                      <w:p>
                        <w:r>
                          <w:t xml:space="preserve">5 </w:t>
                        </w:r>
                      </w:p>
                    </w:tc>
                    <w:tc>
                      <w:tcPr>
                        <w:tcBorders>
                          <w:top w:val="none" w:color="000000" w:sz="0"/>
                          <w:left w:val="none" w:color="000000" w:sz="0"/>
                          <w:bottom w:val="none" w:color="000000" w:sz="0"/>
                          <w:right w:val="none" w:color="000000" w:sz="0"/>
                        </w:tcBorders>
                        <w:tcMar/>
                        <w:vAlign w:val="top"/>
                      </w:tcPr>
                      <w:p>
                        <w:r>
                          <w:t xml:space="preserve">Mucosal</w:t>
                        </w:r>
                      </w:p>
                    </w:tc>
                  </w:tr>
                  <w:tr>
                    <w:trPr/>
                    <w:tc>
                      <w:tcPr>
                        <w:tcW w:w="1000" w:type="pct"/>
                        <w:tcBorders>
                          <w:top w:val="none" w:color="000000" w:sz="0"/>
                          <w:left w:val="none" w:color="000000" w:sz="0"/>
                          <w:bottom w:val="none" w:color="000000" w:sz="0"/>
                          <w:right w:val="none" w:color="000000" w:sz="0"/>
                        </w:tcBorders>
                        <w:tcMar/>
                        <w:vAlign w:val="top"/>
                      </w:tcPr>
                      <w:p>
                        <w:r>
                          <w:t xml:space="preserve">98 </w:t>
                        </w:r>
                      </w:p>
                    </w:tc>
                    <w:tc>
                      <w:tcPr>
                        <w:tcBorders>
                          <w:top w:val="none" w:color="000000" w:sz="0"/>
                          <w:left w:val="none" w:color="000000" w:sz="0"/>
                          <w:bottom w:val="none" w:color="000000" w:sz="0"/>
                          <w:right w:val="none" w:color="000000" w:sz="0"/>
                        </w:tcBorders>
                        <w:tcMar/>
                        <w:vAlign w:val="top"/>
                      </w:tcPr>
                      <w:p>
                        <w:r>
                          <w:t xml:space="preserve">Unknown</w:t>
                        </w:r>
                      </w:p>
                    </w:tc>
                  </w:tr>
                  <w:tr>
                    <w:trPr/>
                    <w:tc>
                      <w:tcPr>
                        <w:tcW w:w="1000" w:type="pct"/>
                        <w:tcBorders>
                          <w:top w:val="none" w:color="000000" w:sz="0"/>
                          <w:left w:val="none" w:color="000000" w:sz="0"/>
                          <w:bottom w:val="none" w:color="000000" w:sz="0"/>
                          <w:right w:val="none" w:color="000000" w:sz="0"/>
                        </w:tcBorders>
                        <w:tcMar/>
                        <w:vAlign w:val="top"/>
                      </w:tcPr>
                      <w:p>
                        <w:r>
                          <w:t xml:space="preserve">99 </w:t>
                        </w:r>
                      </w:p>
                    </w:tc>
                    <w:tc>
                      <w:tcPr>
                        <w:tcBorders>
                          <w:top w:val="none" w:color="000000" w:sz="0"/>
                          <w:left w:val="none" w:color="000000" w:sz="0"/>
                          <w:bottom w:val="none" w:color="000000" w:sz="0"/>
                          <w:right w:val="none" w:color="000000" w:sz="0"/>
                        </w:tcBorders>
                        <w:tcMar/>
                        <w:vAlign w:val="top"/>
                      </w:tcPr>
                      <w:p>
                        <w:r>
                          <w:t xml:space="preserve">Not stated/inadequately described</w:t>
                        </w:r>
                      </w:p>
                    </w:tc>
                  </w:tr>
                </w:tbl>
                <w:p/>
              </w:tc>
            </w:tr>
          </w:tbl>
          <w:p/>
        </w:tc>
      </w:tr>
    </w:tbl>
    <w:p>
      <w:r>
        <w:br/>
      </w:r>
    </w:p>
    <w:sectPr>
      <w:footerReference xmlns:r="http://schemas.openxmlformats.org/officeDocument/2006/relationships" w:type="default" r:id="Rc3d5dc4a6daa4164"/>
      <w:pgSz w:w="16839" w:h="11907" w:orient="landscap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567654</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7b251ee6314a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d5dc4a6daa4164" /><Relationship Type="http://schemas.openxmlformats.org/officeDocument/2006/relationships/header" Target="/word/header1.xml" Id="R0feca08340724efb" /><Relationship Type="http://schemas.openxmlformats.org/officeDocument/2006/relationships/settings" Target="/word/settings.xml" Id="Rc2eef98454e645f9" /><Relationship Type="http://schemas.openxmlformats.org/officeDocument/2006/relationships/styles" Target="/word/styles.xml" Id="R3642ecd407894935" /><Relationship Type="http://schemas.openxmlformats.org/officeDocument/2006/relationships/hyperlink" Target="https://meteor-uat.aihw.gov.au/content/586306" TargetMode="External" Id="R1c4df17531874b24" /><Relationship Type="http://schemas.openxmlformats.org/officeDocument/2006/relationships/hyperlink" Target="https://meteor-uat.aihw.gov.au/content/567690" TargetMode="External" Id="Rcdb2810932954364" /><Relationship Type="http://schemas.openxmlformats.org/officeDocument/2006/relationships/hyperlink" Target="https://meteor-uat.aihw.gov.au/content/567772" TargetMode="External" Id="R57f6b2568f75432d" /><Relationship Type="http://schemas.openxmlformats.org/officeDocument/2006/relationships/hyperlink" Target="https://meteor-uat.aihw.gov.au/content/682256" TargetMode="External" Id="R12af67fa2a604103" /><Relationship Type="http://schemas.openxmlformats.org/officeDocument/2006/relationships/hyperlink" Target="https://meteor-uat.aihw.gov.au/content/507838" TargetMode="External" Id="Rd9003a74d360473d" /><Relationship Type="http://schemas.openxmlformats.org/officeDocument/2006/relationships/hyperlink" Target="https://meteor-uat.aihw.gov.au/content/507593" TargetMode="External" Id="Rc00ef2d3ab2240e5" /><Relationship Type="http://schemas.openxmlformats.org/officeDocument/2006/relationships/hyperlink" Target="https://meteor-uat.aihw.gov.au/content/505157" TargetMode="External" Id="Rab836a78f6834dd6" /><Relationship Type="http://schemas.openxmlformats.org/officeDocument/2006/relationships/hyperlink" Target="https://meteor-uat.aihw.gov.au/content/505084" TargetMode="External" Id="R1592c74279844b84" /><Relationship Type="http://schemas.openxmlformats.org/officeDocument/2006/relationships/hyperlink" Target="https://meteor-uat.aihw.gov.au/content/498146" TargetMode="External" Id="Recce0ef5e10944eb" /><Relationship Type="http://schemas.openxmlformats.org/officeDocument/2006/relationships/hyperlink" Target="https://meteor-uat.aihw.gov.au/content/534464" TargetMode="External" Id="R20f294d46ed746f7" /><Relationship Type="http://schemas.openxmlformats.org/officeDocument/2006/relationships/hyperlink" Target="https://meteor-uat.aihw.gov.au/content/567834" TargetMode="External" Id="Raf5dc8430e174295" /><Relationship Type="http://schemas.openxmlformats.org/officeDocument/2006/relationships/hyperlink" Target="https://meteor-uat.aihw.gov.au/content/567842" TargetMode="External" Id="R43346874fdff40b1" /><Relationship Type="http://schemas.openxmlformats.org/officeDocument/2006/relationships/hyperlink" Target="https://meteor-uat.aihw.gov.au/content/567913" TargetMode="External" Id="R7d5e1492d646481b" /><Relationship Type="http://schemas.openxmlformats.org/officeDocument/2006/relationships/hyperlink" Target="https://meteor-uat.aihw.gov.au/content/567930" TargetMode="External" Id="Rea9a21d5c9ff40d5" /><Relationship Type="http://schemas.openxmlformats.org/officeDocument/2006/relationships/hyperlink" Target="https://meteor-uat.aihw.gov.au/content/567962" TargetMode="External" Id="Rb3e13b1158f94cac" /></Relationships>
</file>

<file path=word/_rels/header1.xml.rels>&#65279;<?xml version="1.0" encoding="utf-8"?><Relationships xmlns="http://schemas.openxmlformats.org/package/2006/relationships"><Relationship Type="http://schemas.openxmlformats.org/officeDocument/2006/relationships/image" Target="/media/image.png" Id="R147b251ee6314a17" /></Relationships>
</file>