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04eec7fe04f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15 Proportion of Indigenous 20-64 year olds with or working towards post-school qualification in AQF Certificate III or above (Census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692ec365541d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level III or above.</w:t>
            </w:r>
          </w:p>
          <w:p>
            <w:pPr>
              <w:spacing w:after="160"/>
            </w:pPr>
            <w:r>
              <w:rPr>
                <w:rStyle w:val="row-content-rich-text"/>
              </w:rPr>
              <w:t xml:space="preserve">Numerator — People aged 20–64 years who have attained or are working towards post-school qualifications at AQF Certificate level III or above. For the Census, level of current study is not collected. The numerator comprises all persons aged 20-64 years who have attained a qualification at Certificate III level or above plus all remaining persons in this age range who are currently studying at any level.</w:t>
            </w:r>
          </w:p>
          <w:p>
            <w:pPr/>
            <w:r>
              <w:rPr>
                <w:rStyle w:val="row-content-rich-text"/>
              </w:rPr>
              <w:t xml:space="preserve">Denominator — Total population of persons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 qualification, student status and type of educational institution attending for each individual. The classification used is the Australian Standard Classification of Education (ASCED)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isn’t collected in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6.2 per cent and 4.4 per cent respectively (compared to 7.5 per cent and 4.5 per cent in 2006).</w:t>
            </w:r>
          </w:p>
          <w:p>
            <w:pPr>
              <w:spacing w:after="160"/>
            </w:pPr>
            <w:r>
              <w:rPr>
                <w:rStyle w:val="row-content-rich-text"/>
              </w:rPr>
              <w:t xml:space="preserve">An estimated 4% (Type of Educational Institution Attending) and 1% (other variables) of responses are incorrect; in these cases responses are accepted in the order they appear on the form and extra responses are rejected.</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spacing w:after="160"/>
            </w:pPr>
            <w:r>
              <w:rPr>
                <w:rStyle w:val="row-content-rich-text"/>
              </w:rPr>
              <w:t xml:space="preserve">For further information see specific Data Quality Statements and the non-response rate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has been used in all surveys with Australian Standard Classification of Education (ASCED) (cat. no. 1272.0) education items since 2001 and allows the education and training items between different surveys to be compared.</w:t>
            </w:r>
          </w:p>
          <w:p>
            <w:pPr/>
            <w:r>
              <w:rPr>
                <w:rStyle w:val="row-content-rich-text"/>
              </w:rPr>
              <w:t xml:space="preserve">The Survey of Education and Work (cat. no. 6227.0), Qualifications and Employment Outcomes (cat. no. 4235.0) and the upcoming Work-Related Training and Adult Learning (cat no. 4234.0) also provide information on educational participation and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86b598fa884d4b">
              <w:r>
                <w:rPr>
                  <w:rStyle w:val="Hyperlink"/>
                </w:rPr>
                <w:t xml:space="preserve">National Indigenous Reform Agreement: PI 15a-Proportion of Indigenous 20-64 year olds with or working towards a post-school qualification in Certificate level III or above, (Census data) 2013 QS</w:t>
              </w:r>
            </w:hyperlink>
          </w:p>
          <w:p>
            <w:pPr>
              <w:pStyle w:val="registration-status"/>
              <w:spacing w:before="0" w:after="0"/>
            </w:pPr>
            <w:hyperlink w:history="true" r:id="R8211dc344093497d">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0becae4560624e94">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pStyle w:val="registration-status"/>
              <w:spacing w:before="0" w:after="0"/>
            </w:pPr>
            <w:hyperlink w:history="true" r:id="R97faa543e5534ba6">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4bd5a91fe34848">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d20e416f176649a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604f9fdcea9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d976bb4a1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4f9fdcea94ae9" /><Relationship Type="http://schemas.openxmlformats.org/officeDocument/2006/relationships/header" Target="/word/header1.xml" Id="R2cbf77957e3f4ca1" /><Relationship Type="http://schemas.openxmlformats.org/officeDocument/2006/relationships/settings" Target="/word/settings.xml" Id="R5fd6495eb41f45f8" /><Relationship Type="http://schemas.openxmlformats.org/officeDocument/2006/relationships/styles" Target="/word/styles.xml" Id="R966da1843b0c4e9b" /><Relationship Type="http://schemas.openxmlformats.org/officeDocument/2006/relationships/hyperlink" Target="https://meteor-uat.aihw.gov.au/RegistrationAuthority/9" TargetMode="External" Id="R6ed692ec365541d1" /><Relationship Type="http://schemas.openxmlformats.org/officeDocument/2006/relationships/hyperlink" Target="https://meteor-uat.aihw.gov.au/content/523444" TargetMode="External" Id="Rdc86b598fa884d4b" /><Relationship Type="http://schemas.openxmlformats.org/officeDocument/2006/relationships/hyperlink" Target="https://meteor-uat.aihw.gov.au/RegistrationAuthority/9" TargetMode="External" Id="R8211dc344093497d" /><Relationship Type="http://schemas.openxmlformats.org/officeDocument/2006/relationships/hyperlink" Target="https://meteor-uat.aihw.gov.au/content/664708" TargetMode="External" Id="R0becae4560624e94" /><Relationship Type="http://schemas.openxmlformats.org/officeDocument/2006/relationships/hyperlink" Target="https://meteor-uat.aihw.gov.au/RegistrationAuthority/9" TargetMode="External" Id="R97faa543e5534ba6" /><Relationship Type="http://schemas.openxmlformats.org/officeDocument/2006/relationships/hyperlink" Target="https://meteor-uat.aihw.gov.au/content/525738" TargetMode="External" Id="R444bd5a91fe34848" /><Relationship Type="http://schemas.openxmlformats.org/officeDocument/2006/relationships/hyperlink" Target="https://meteor-uat.aihw.gov.au/RegistrationAuthority/9" TargetMode="External" Id="Rd20e416f176649a4" /></Relationships>
</file>

<file path=word/_rels/header1.xml.rels>&#65279;<?xml version="1.0" encoding="utf-8"?><Relationships xmlns="http://schemas.openxmlformats.org/package/2006/relationships"><Relationship Type="http://schemas.openxmlformats.org/officeDocument/2006/relationships/image" Target="/media/image.png" Id="R494d976bb4a147a0" /></Relationships>
</file>