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428f17f5c04b5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13 Attendance rates Year 1 to Year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eb24fe480c4062">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ACARA collects the data from individual data providers: Departments of Education in each state/territory, for the government sector and The Department of Education, Employment and Workplace Relations (DEEWR) for the non-government sector.</w:t>
            </w:r>
          </w:p>
          <w:p>
            <w:pPr>
              <w:spacing w:after="160"/>
            </w:pPr>
            <w:r>
              <w:rPr>
                <w:rStyle w:val="row-content-rich-text"/>
              </w:rPr>
              <w:t xml:space="preserve">Individual data providers collect information from schools under the relevant legislation/agreement in each state/territory and sector.</w:t>
            </w:r>
          </w:p>
          <w:p>
            <w:pPr/>
            <w:r>
              <w:rPr>
                <w:rStyle w:val="row-content-rich-text"/>
              </w:rPr>
              <w:t xml:space="preserve">Summaries of key points from individual data providers’ Data Quality Statements are provided in appendix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ACARA requests aggregate data, from data providers, in April of the year following the collection period. For example, for the 2012 collection, the data was requested in April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 this format were yet to be published by ACARA, however the data will be published in the 2012 National Report on Schooling in Australia.</w:t>
            </w:r>
          </w:p>
          <w:p>
            <w:pPr>
              <w:spacing w:after="160"/>
            </w:pPr>
            <w:r>
              <w:rPr>
                <w:rStyle w:val="row-content-rich-text"/>
              </w:rPr>
              <w:t xml:space="preserve">Each state/territory and sector publishes variations of their data through their own websites/publications.</w:t>
            </w:r>
          </w:p>
          <w:p>
            <w:pPr>
              <w:spacing w:after="160"/>
            </w:pPr>
            <w:r>
              <w:rPr>
                <w:rStyle w:val="row-content-rich-text"/>
              </w:rPr>
              <w:t xml:space="preserve">For further information please contact info@acara.edu.au.</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differences in methodologies and counting rules between state/territory and sector can be found in the National Report on Schooling in Australia – Explanatory notes for student attendance data. Note the 2012 report is not yet available, however the 2011 and 2010 reports may be used as there have been minor or no changes to methodologies and counting rules during this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represents student attendance rates (per cent) for all schools in all sectors in Australia by Year level for Years 1-10 and ungraded students, State and Territory, Sex, and Indigenous status.</w:t>
            </w:r>
          </w:p>
          <w:p>
            <w:pPr>
              <w:spacing w:after="160"/>
            </w:pPr>
            <w:r>
              <w:rPr>
                <w:rStyle w:val="row-content-rich-text"/>
              </w:rPr>
              <w:t xml:space="preserve">Sex and Indigenous status are defined as per the ACARA Data Standards Manual: Student Background Characteristics.</w:t>
            </w:r>
          </w:p>
          <w:p>
            <w:pPr>
              <w:spacing w:after="160"/>
            </w:pPr>
            <w:r>
              <w:rPr>
                <w:rStyle w:val="row-content-rich-text"/>
              </w:rPr>
              <w:t xml:space="preserve">The collection period for the government sector was Semester 1 in 2012 for each state/territory except for Tasmania where it was Term 1. Note that actual dates of Semester 1 may vary between state/territory.</w:t>
            </w:r>
          </w:p>
          <w:p>
            <w:pPr/>
            <w:r>
              <w:rPr>
                <w:rStyle w:val="row-content-rich-text"/>
              </w:rPr>
              <w:t xml:space="preserve">The collection period for the non-government sector is for 20 consecutive school days in May that form four complete school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 data are collected through various school management systems at the school, before then being collated into a central database by Departments of Education in each state/territory and by the Department of Education, Employment and Workplace Relations (DEEWR), for the government and non-government systems respectively.</w:t>
            </w:r>
          </w:p>
          <w:p>
            <w:pPr>
              <w:spacing w:after="160"/>
            </w:pPr>
            <w:r>
              <w:rPr>
                <w:rStyle w:val="row-content-rich-text"/>
              </w:rPr>
              <w:t xml:space="preserve">Note that student attendance data are not always captured consistently by schools.</w:t>
            </w:r>
          </w:p>
          <w:p>
            <w:pPr>
              <w:spacing w:after="160"/>
            </w:pPr>
            <w:r>
              <w:rPr>
                <w:rStyle w:val="row-content-rich-text"/>
              </w:rPr>
              <w:t xml:space="preserve">The below only relates to ACARA's activities in relation to the accuracy of collation. ACARA has taken necessary steps to ensure that the collated data are accurately based on the data provided. Data providers were requested to provide data in predefined templates.</w:t>
            </w:r>
          </w:p>
          <w:p>
            <w:pPr>
              <w:pStyle w:val="ListParagraph"/>
              <w:numPr>
                <w:ilvl w:val="0"/>
                <w:numId w:val="2"/>
              </w:numPr>
            </w:pPr>
            <w:r>
              <w:rPr>
                <w:rStyle w:val="row-content-rich-text"/>
              </w:rPr>
              <w:t xml:space="preserve">ACARA has undertaken rigorous internal quality assurance processes to ensure the collated data are accurately reflective of the source datasets.</w:t>
            </w:r>
            <w:r>
              <w:br/>
            </w:r>
          </w:p>
          <w:p>
            <w:pPr>
              <w:pStyle w:val="ListParagraph"/>
              <w:numPr>
                <w:ilvl w:val="0"/>
                <w:numId w:val="2"/>
              </w:numPr>
            </w:pPr>
            <w:r>
              <w:rPr>
                <w:rStyle w:val="row-content-rich-text"/>
              </w:rPr>
              <w:t xml:space="preserve">ACARA has derived the Rate_Percent (called Derived_Rate_Percent) using the provided data fields and compared to the supplied Rate_Percent :</w:t>
            </w:r>
            <w:r>
              <w:br/>
            </w:r>
            <w:r>
              <w:br/>
            </w:r>
            <w:r>
              <w:rPr>
                <w:rStyle w:val="row-content-rich-text"/>
              </w:rPr>
              <w:t xml:space="preserve">        •</w:t>
            </w:r>
            <w:r>
              <w:rPr>
                <w:rStyle w:val="row-content-rich-text"/>
              </w:rPr>
              <w:t xml:space="preserve">Actual_Day_Attendance</w:t>
            </w:r>
            <w:r>
              <w:br/>
            </w:r>
            <w:r>
              <w:br/>
            </w:r>
            <w:r>
              <w:rPr>
                <w:rStyle w:val="row-content-rich-text"/>
              </w:rPr>
              <w:t xml:space="preserve">        •</w:t>
            </w:r>
            <w:r>
              <w:rPr>
                <w:rStyle w:val="row-content-rich-text"/>
              </w:rPr>
              <w:t xml:space="preserve">Possible_Day_Attendance</w:t>
            </w:r>
            <w:r>
              <w:br/>
            </w:r>
            <w:r>
              <w:br/>
            </w:r>
            <w:r>
              <w:rPr>
                <w:rStyle w:val="row-content-rich-text"/>
              </w:rPr>
              <w:t xml:space="preserve">        •</w:t>
            </w:r>
            <w:r>
              <w:rPr>
                <w:rStyle w:val="row-content-rich-text"/>
              </w:rPr>
              <w:t xml:space="preserve">Rate_Percent.</w:t>
            </w:r>
            <w:r>
              <w:br/>
            </w:r>
          </w:p>
          <w:p>
            <w:pPr>
              <w:pStyle w:val="ListParagraph"/>
              <w:numPr>
                <w:ilvl w:val="0"/>
                <w:numId w:val="2"/>
              </w:numPr>
            </w:pPr>
            <w:r>
              <w:rPr>
                <w:rStyle w:val="row-content-rich-text"/>
              </w:rPr>
              <w:t xml:space="preserve">Whenever the Derived_Rate_Percent figure is not equal to the Rate_Percent figure (as supplied), ACARA will report the Derived_Rate_Percent figure.</w:t>
            </w:r>
            <w:r>
              <w:br/>
            </w:r>
          </w:p>
          <w:p>
            <w:pPr>
              <w:pStyle w:val="ListParagraph"/>
              <w:numPr>
                <w:ilvl w:val="0"/>
                <w:numId w:val="2"/>
              </w:numPr>
            </w:pPr>
            <w:r>
              <w:rPr>
                <w:rStyle w:val="row-content-rich-text"/>
              </w:rPr>
              <w:t xml:space="preserve">ACARA has consistently applied and adopted this treatment across the 2012 National Student Attendance Data Collection.</w:t>
            </w:r>
            <w:r>
              <w:br/>
            </w:r>
          </w:p>
          <w:p>
            <w:pPr>
              <w:pStyle w:val="ListParagraph"/>
              <w:numPr>
                <w:ilvl w:val="0"/>
                <w:numId w:val="2"/>
              </w:numPr>
            </w:pPr>
            <w:r>
              <w:rPr>
                <w:rStyle w:val="row-content-rich-text"/>
              </w:rPr>
              <w:t xml:space="preserve">ACARA has provided feedback to data providers and sought confirmation and approval on discrepancies in Derived_Rate_Percent.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Methodologies and counting rules vary between state/territory and sector, therefore data cannot be compared across state/territory or across school sectors but comparisons over time (2007 to 2012) within a state/territory and sector can be made. Since 2007, data have generally been collected consistently by each state/territory and sector except for NT where the data source changed in 2012 and SA where the reporting period changed to Semester 1 in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2012 ACARA National Student Attendance Data Collection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2003aea41b472b">
              <w:r>
                <w:rPr>
                  <w:rStyle w:val="Hyperlink"/>
                </w:rPr>
                <w:t xml:space="preserve">National Indigenous Reform Agreement: PI 13-Attendance rates Year 1 to Year 10, 2013 QS</w:t>
              </w:r>
            </w:hyperlink>
          </w:p>
          <w:p>
            <w:pPr>
              <w:pStyle w:val="registration-status"/>
              <w:spacing w:before="0" w:after="0"/>
            </w:pPr>
            <w:hyperlink w:history="true" r:id="R859843cd8d384bfc">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2fac17687aa64e62">
              <w:r>
                <w:rPr>
                  <w:rStyle w:val="Hyperlink"/>
                </w:rPr>
                <w:t xml:space="preserve">National Indigenous Reform Agreement: PI 13-Attendance rates Year 1 to Year 10, 2015-16; Quality Statement</w:t>
              </w:r>
            </w:hyperlink>
          </w:p>
          <w:p>
            <w:pPr>
              <w:pStyle w:val="registration-status"/>
              <w:spacing w:before="0" w:after="0"/>
            </w:pPr>
            <w:hyperlink w:history="true" r:id="R914d7ebcc5994a24">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56fc66f9f0c4f16">
              <w:r>
                <w:rPr>
                  <w:rStyle w:val="Hyperlink"/>
                </w:rPr>
                <w:t xml:space="preserve">National Indigenous Reform Agreement: PI 13-Attendance rates Year 1 to Year 10, 2014</w:t>
              </w:r>
            </w:hyperlink>
          </w:p>
          <w:p>
            <w:pPr>
              <w:pStyle w:val="registration-status"/>
              <w:spacing w:before="0" w:after="0"/>
            </w:pPr>
            <w:hyperlink w:history="true" r:id="Re7c93423d67e4558">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3feccc9d5cbc45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7e2b4cec2d49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eccc9d5cbc4525" /><Relationship Type="http://schemas.openxmlformats.org/officeDocument/2006/relationships/header" Target="/word/header1.xml" Id="Raa1d1135de7e4cd2" /><Relationship Type="http://schemas.openxmlformats.org/officeDocument/2006/relationships/settings" Target="/word/settings.xml" Id="Rfa3ed6d86a6b43b1" /><Relationship Type="http://schemas.openxmlformats.org/officeDocument/2006/relationships/styles" Target="/word/styles.xml" Id="R7c8118214a244661" /><Relationship Type="http://schemas.openxmlformats.org/officeDocument/2006/relationships/numbering" Target="/word/numbering.xml" Id="R449781da5df0482b" /><Relationship Type="http://schemas.openxmlformats.org/officeDocument/2006/relationships/hyperlink" Target="https://meteor-uat.aihw.gov.au/RegistrationAuthority/9" TargetMode="External" Id="Rc7eb24fe480c4062" /><Relationship Type="http://schemas.openxmlformats.org/officeDocument/2006/relationships/hyperlink" Target="https://meteor-uat.aihw.gov.au/content/523405" TargetMode="External" Id="R3a2003aea41b472b" /><Relationship Type="http://schemas.openxmlformats.org/officeDocument/2006/relationships/hyperlink" Target="https://meteor-uat.aihw.gov.au/RegistrationAuthority/9" TargetMode="External" Id="R859843cd8d384bfc" /><Relationship Type="http://schemas.openxmlformats.org/officeDocument/2006/relationships/hyperlink" Target="https://meteor-uat.aihw.gov.au/content/664702" TargetMode="External" Id="R2fac17687aa64e62" /><Relationship Type="http://schemas.openxmlformats.org/officeDocument/2006/relationships/hyperlink" Target="https://meteor-uat.aihw.gov.au/RegistrationAuthority/9" TargetMode="External" Id="R914d7ebcc5994a24" /><Relationship Type="http://schemas.openxmlformats.org/officeDocument/2006/relationships/hyperlink" Target="https://meteor-uat.aihw.gov.au/content/525814" TargetMode="External" Id="R356fc66f9f0c4f16" /><Relationship Type="http://schemas.openxmlformats.org/officeDocument/2006/relationships/hyperlink" Target="https://meteor-uat.aihw.gov.au/RegistrationAuthority/9" TargetMode="External" Id="Re7c93423d67e4558" /></Relationships>
</file>

<file path=word/_rels/header1.xml.rels>&#65279;<?xml version="1.0" encoding="utf-8"?><Relationships xmlns="http://schemas.openxmlformats.org/package/2006/relationships"><Relationship Type="http://schemas.openxmlformats.org/officeDocument/2006/relationships/image" Target="/media/image.png" Id="R7a7e2b4cec2d49a4" /></Relationships>
</file>