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1c45600fdf4e7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2 Mortality rate by leading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bdac65bf114b6e">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Census and Statistics Act 1905. For information on the institutional environment of the ABS, including the legislative obligations of the ABS, financing and governance arrangements, and mechanisms for scrutiny of ABS operations,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Recasting 20 years of ERP in the December quarter 2012 issue of Australian Demographic Statistics (cat. no. 3101.0).</w:t>
            </w:r>
          </w:p>
          <w:p>
            <w:pPr>
              <w:spacing w:after="160"/>
            </w:pPr>
            <w:r>
              <w:rPr>
                <w:rStyle w:val="row-content-rich-text"/>
              </w:rPr>
              <w:t xml:space="preserve">For further information on ABS Estimated Resident Population, see the relevant Data Quality Statement.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is available in a variety of formats on the ABS website under the 3101.0 and 3238.0 product families. Further information on deaths and mortality may be available on request. The ABS observes strict confidentiality protocols as required by the Census and Statistics Act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direct method, to 75 years +, to account for differences between the age structures of the Indigenous and non-Indigenous populations. Direct age-standardisation to the 2001 total Australian population was used (see Data Cube: Standard Population for Use in Age-Standardisation Table in Australian Demographic Statistics, Dec 2012, cat. no. 3101.0). Age-standardised results provide a measure of relative difference only between populations.</w:t>
            </w:r>
          </w:p>
          <w:p>
            <w:pPr/>
            <w:r>
              <w:rPr>
                <w:rStyle w:val="row-content-rich-text"/>
              </w:rPr>
              <w:t xml:space="preserve">Information on how to interpret and use the data appropriately is available from Explanatory Notes in Causes of Death, Australia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and Deaths collections,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Causes of Death, Australia, 2010 publication (cat. No. 3303.0) and 2010 data reported for COAG, as this adjustment was not applied in the publication. For further details see Technical Note: Registration of outstanding deaths, Queensland 2010, from the Deaths, Australia, 2010 publication (cat. no, 3302.0) and Explanatory Note 103 in the Causes of Death, Australia, 2010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Deaths, Australia, 2010 (cat. no. 3302.0) publication on 24 May 2012, and are included in this round of COAG reporting.</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Technical Note: Causes of Death Revisions 2009 and 2010 in Causes of Death, Australia, 2011 (cat.no.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Demography Working Paper 1998/2 - Quarterly birth and death estimates, 1998 (cat. no. 3114.0) and Australian Demographic Statistics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in the absence of 2011 Census-based Indigenous population projections, the non-Indigenous population denominator has been calculated by subtracting the 2006 Census-based Indigenous projections (see Experimental Estimates and Projections, Aboriginal and Torres Strait Islander Australians, August 2009, cat. no. 3238.0) from the 2006 Census-based Estimated Resident Population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and Causes of Death collection does not include death registrations with a ‘not stated’ Indigenous status. 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ABS Causes of Death collection (3303.0) and ABS Deaths collection (3302.0).</w:t>
            </w:r>
          </w:p>
          <w:p>
            <w:pPr/>
            <w:r>
              <w:rPr>
                <w:rStyle w:val="row-content-rich-text"/>
              </w:rPr>
              <w:t xml:space="preserve">Denominator - ABS Experimental Estimates and Projections, Aboriginal and Torres Strait Islander Australians (3238.0, Series B). For non-Indigenous population estimates, the projected Indigenous population (3238.0, Series B) is subtracted from the 2006-Census-based Estimated Resident Population (3101.0).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e4162efec740c9">
              <w:r>
                <w:rPr>
                  <w:rStyle w:val="Hyperlink"/>
                </w:rPr>
                <w:t xml:space="preserve">National Indigenous Reform Agreement: PI 02-Mortality rate by leading causes, 2013 QS </w:t>
              </w:r>
            </w:hyperlink>
          </w:p>
          <w:p>
            <w:pPr>
              <w:pStyle w:val="registration-status"/>
              <w:spacing w:before="0" w:after="0"/>
            </w:pPr>
            <w:hyperlink w:history="true" r:id="Rd35c0223fb8c4440">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29a38a39b46d4ad5">
              <w:r>
                <w:rPr>
                  <w:rStyle w:val="Hyperlink"/>
                </w:rPr>
                <w:t xml:space="preserve">National Indigenous Reform Agreement: PI 02—Mortality rate by leading causes, 2015, Quality Statement</w:t>
              </w:r>
            </w:hyperlink>
          </w:p>
          <w:p>
            <w:pPr>
              <w:pStyle w:val="registration-status"/>
              <w:spacing w:before="0" w:after="0"/>
            </w:pPr>
            <w:hyperlink w:history="true" r:id="R11d518d5534d469c">
              <w:r>
                <w:rPr>
                  <w:rStyle w:val="Hyperlink"/>
                  <w:color w:val="244061"/>
                </w:rPr>
                <w:t xml:space="preserve">Indigenous</w:t>
              </w:r>
            </w:hyperlink>
            <w:r>
              <w:rPr>
                <w:rStyle w:val="row-content"/>
                <w:color w:val="244061"/>
              </w:rPr>
              <w:t xml:space="preserve">, Superseded 07/02/2017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2f1c220a6b3479c">
              <w:r>
                <w:rPr>
                  <w:rStyle w:val="Hyperlink"/>
                </w:rPr>
                <w:t xml:space="preserve">National Indigenous Reform Agreement: PI 02-Mortality rate by leading causes, 2014</w:t>
              </w:r>
            </w:hyperlink>
          </w:p>
          <w:p>
            <w:pPr>
              <w:pStyle w:val="registration-status"/>
              <w:spacing w:before="0" w:after="0"/>
            </w:pPr>
            <w:hyperlink w:history="true" r:id="R3e251f1c10fe47a9">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efa42fde0eab4e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ed4a1eb2a44a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a42fde0eab4eb8" /><Relationship Type="http://schemas.openxmlformats.org/officeDocument/2006/relationships/header" Target="/word/header1.xml" Id="R34b25f48b76d4325" /><Relationship Type="http://schemas.openxmlformats.org/officeDocument/2006/relationships/settings" Target="/word/settings.xml" Id="Rf395bedc70d44ccd" /><Relationship Type="http://schemas.openxmlformats.org/officeDocument/2006/relationships/styles" Target="/word/styles.xml" Id="R07237b35aef3405f" /><Relationship Type="http://schemas.openxmlformats.org/officeDocument/2006/relationships/hyperlink" Target="https://meteor-uat.aihw.gov.au/RegistrationAuthority/9" TargetMode="External" Id="R64bdac65bf114b6e" /><Relationship Type="http://schemas.openxmlformats.org/officeDocument/2006/relationships/hyperlink" Target="https://meteor-uat.aihw.gov.au/content/523088" TargetMode="External" Id="R9ce4162efec740c9" /><Relationship Type="http://schemas.openxmlformats.org/officeDocument/2006/relationships/hyperlink" Target="https://meteor-uat.aihw.gov.au/RegistrationAuthority/9" TargetMode="External" Id="Rd35c0223fb8c4440" /><Relationship Type="http://schemas.openxmlformats.org/officeDocument/2006/relationships/hyperlink" Target="https://meteor-uat.aihw.gov.au/content/593415" TargetMode="External" Id="R29a38a39b46d4ad5" /><Relationship Type="http://schemas.openxmlformats.org/officeDocument/2006/relationships/hyperlink" Target="https://meteor-uat.aihw.gov.au/RegistrationAuthority/9" TargetMode="External" Id="R11d518d5534d469c" /><Relationship Type="http://schemas.openxmlformats.org/officeDocument/2006/relationships/hyperlink" Target="https://meteor-uat.aihw.gov.au/content/525824" TargetMode="External" Id="R72f1c220a6b3479c" /><Relationship Type="http://schemas.openxmlformats.org/officeDocument/2006/relationships/hyperlink" Target="https://meteor-uat.aihw.gov.au/RegistrationAuthority/9" TargetMode="External" Id="R3e251f1c10fe47a9" /></Relationships>
</file>

<file path=word/_rels/header1.xml.rels>&#65279;<?xml version="1.0" encoding="utf-8"?><Relationships xmlns="http://schemas.openxmlformats.org/package/2006/relationships"><Relationship Type="http://schemas.openxmlformats.org/officeDocument/2006/relationships/image" Target="/media/image.png" Id="R6eed4a1eb2a44ab5" /></Relationships>
</file>