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ce4b1502a420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 Estimated life expectancy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3caa24713439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ABS, including the legislative obligations of the ABS, financing and governance arrangements, and mechanisms for scrutiny of ABS operations, please see ABS Institutional Environment (ABS website).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2010–2012 estimates released in November 2013 in Life Tables for Aboriginal and Torres Strait Islander Australians, 2010-2012 (cat. no. 3302.0.55.003).</w:t>
            </w:r>
          </w:p>
          <w:p>
            <w:pPr>
              <w:spacing w:after="160"/>
            </w:pPr>
            <w:r>
              <w:rPr>
                <w:rStyle w:val="row-content-rich-text"/>
              </w:rPr>
              <w:t xml:space="preserve">An improvement has been made to the method of calculating Indigenous life tables at the Australia level for the period 2010-2012.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spacing w:after="160"/>
            </w:pPr>
            <w:r>
              <w:rPr>
                <w:rStyle w:val="row-content-rich-text"/>
              </w:rPr>
              <w:t xml:space="preserve">This release also includes Indigenous life tables by remoteness areas for the first time, also without age-specific adjustments.</w:t>
            </w:r>
          </w:p>
          <w:p>
            <w:pPr/>
            <w:r>
              <w:rPr>
                <w:rStyle w:val="row-content-rich-text"/>
              </w:rPr>
              <w:t xml:space="preserve">Comparable 2005-2007 life expectancy estimates, which specifically factor in the statistical impact of this methodological refinement and the improved collection of Indigenous status in the Post Enumeration Survey, were also released in Life Tables for Aboriginal and Torres Strait Islander Australians, Australia, 2010-2012 (cat. no. 3302.0.55.003).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(see Life Tables for Aboriginal and Torres Strait Islander Australians, Australia, 2010-2012 (cat. no. 3302.0.55.003)).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from which life expectancy at birth estimates were sourced were produced to enable the compilation of ABS estimates and projections of the Indigenous population of Australia for the period 2001 to 2026.</w:t>
            </w:r>
          </w:p>
          <w:p>
            <w:pPr>
              <w:spacing w:after="160"/>
            </w:pPr>
            <w:r>
              <w:rPr>
                <w:rStyle w:val="row-content-rich-text"/>
              </w:rPr>
              <w:t xml:space="preserve">Estimates of life expectancy at birth for Indigenous Australians are commonly used as a measure for assessing Indigenous population health and disadvantage.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improvements made to the method of compiling the 2010-2012 Indigenous life tables at the Australia level, a comparable set of 2005-2007 life tables was released by the ABS in Life Tables for Aboriginal and Torres Strait Islander Australians, 2010-2012 (cat. no. 3302.0.55.003).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Life Tables for Aboriginal and Torres Strait Islander Australians, 2010-2012 (cat. no. 3302.0.55.003).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a5ba38b21640d9">
              <w:r>
                <w:rPr>
                  <w:rStyle w:val="Hyperlink"/>
                </w:rPr>
                <w:t xml:space="preserve">National Indigenous Reform Agreement: P01-Estimated life expectancy at birth, 2010 QS</w:t>
              </w:r>
            </w:hyperlink>
          </w:p>
          <w:p>
            <w:pPr>
              <w:pStyle w:val="registration-status"/>
              <w:spacing w:before="0" w:after="0"/>
            </w:pPr>
            <w:hyperlink w:history="true" r:id="R26b7806d97e3490d">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2f1186aab4145e2">
              <w:r>
                <w:rPr>
                  <w:rStyle w:val="Hyperlink"/>
                </w:rPr>
                <w:t xml:space="preserve">National Indigenous Reform Agreement: PI 01-Estimated life expectancy at birth, 2014</w:t>
              </w:r>
            </w:hyperlink>
          </w:p>
          <w:p>
            <w:pPr>
              <w:pStyle w:val="registration-status"/>
              <w:spacing w:before="0" w:after="0"/>
            </w:pPr>
            <w:hyperlink w:history="true" r:id="R080555ea10de4d1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a9c2811f0383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a1e5db2c4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2811f03834ed5" /><Relationship Type="http://schemas.openxmlformats.org/officeDocument/2006/relationships/header" Target="/word/header1.xml" Id="R422f2f37b34e4ce5" /><Relationship Type="http://schemas.openxmlformats.org/officeDocument/2006/relationships/settings" Target="/word/settings.xml" Id="R80b71ef1c995495f" /><Relationship Type="http://schemas.openxmlformats.org/officeDocument/2006/relationships/styles" Target="/word/styles.xml" Id="R979096544d7f46a3" /><Relationship Type="http://schemas.openxmlformats.org/officeDocument/2006/relationships/hyperlink" Target="https://meteor-uat.aihw.gov.au/RegistrationAuthority/9" TargetMode="External" Id="Rf053caa24713439e" /><Relationship Type="http://schemas.openxmlformats.org/officeDocument/2006/relationships/hyperlink" Target="https://meteor-uat.aihw.gov.au/content/396211" TargetMode="External" Id="R1aa5ba38b21640d9" /><Relationship Type="http://schemas.openxmlformats.org/officeDocument/2006/relationships/hyperlink" Target="https://meteor-uat.aihw.gov.au/RegistrationAuthority/3" TargetMode="External" Id="R26b7806d97e3490d" /><Relationship Type="http://schemas.openxmlformats.org/officeDocument/2006/relationships/hyperlink" Target="https://meteor-uat.aihw.gov.au/content/525818" TargetMode="External" Id="R72f1186aab4145e2" /><Relationship Type="http://schemas.openxmlformats.org/officeDocument/2006/relationships/hyperlink" Target="https://meteor-uat.aihw.gov.au/RegistrationAuthority/9" TargetMode="External" Id="R080555ea10de4d1d" /></Relationships>
</file>

<file path=word/_rels/header1.xml.rels>&#65279;<?xml version="1.0" encoding="utf-8"?><Relationships xmlns="http://schemas.openxmlformats.org/package/2006/relationships"><Relationship Type="http://schemas.openxmlformats.org/officeDocument/2006/relationships/image" Target="/media/image.png" Id="R2d7a1e5db2c44c28" /></Relationships>
</file>