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657916214416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68afd9b48b1435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28e8c86b9814004">
                    <w:r>
                      <w:rPr>
                        <w:rStyle w:val="Hyperlink"/>
                      </w:rPr>
                      <w:t xml:space="preserve">ED additional diagnosis code</w:t>
                    </w:r>
                  </w:hyperlink>
                </w:p>
              </w:tc>
              <w:tc>
                <w:tcPr>
                  <w:vAlign w:val="top"/>
                </w:tcPr>
                <w:p>
                  <w:r>
                    <w:t xml:space="preserve">497488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970d1deded994397">
                    <w:r>
                      <w:rPr>
                        <w:rStyle w:val="Hyperlink"/>
                      </w:rPr>
                      <w:t xml:space="preserve">ED diagnosis classification type</w:t>
                    </w:r>
                  </w:hyperlink>
                </w:p>
              </w:tc>
              <w:tc>
                <w:tcPr>
                  <w:vAlign w:val="top"/>
                </w:tcPr>
                <w:p>
                  <w:r>
                    <w:t xml:space="preserve">497496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2ffea72e1b5f4ca0">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a98e308acea4e23">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72d93148ddc46fb">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3e0c20587ea4375">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d261811b57b4768">
                    <w:r>
                      <w:rPr>
                        <w:rStyle w:val="Hyperlink"/>
                      </w:rPr>
                      <w:t xml:space="preserve">ED principal diagnosis code</w:t>
                    </w:r>
                  </w:hyperlink>
                </w:p>
              </w:tc>
              <w:tc>
                <w:tcPr>
                  <w:vAlign w:val="top"/>
                </w:tcPr>
                <w:p>
                  <w:r>
                    <w:t xml:space="preserve">497490</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37bc90081d6a49f9">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82b367b1b90b402f">
                    <w:r>
                      <w:rPr>
                        <w:rStyle w:val="Hyperlink"/>
                      </w:rPr>
                      <w:t xml:space="preserve">Type of visit to emergency department</w:t>
                    </w:r>
                  </w:hyperlink>
                </w:p>
              </w:tc>
              <w:tc>
                <w:tcPr>
                  <w:vAlign w:val="top"/>
                </w:tcPr>
                <w:p>
                  <w:r>
                    <w:t xml:space="preserve">495958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68608a2836494706">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da909e95c54185">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60811124d7494830">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a1aef15845849b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666a7ba3bcd4c6c">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8e55b0d8f5c4078">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c1184c11e4c48ed">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a69796fff204bba">
                    <w:r>
                      <w:rPr>
                        <w:rStyle w:val="Hyperlink"/>
                      </w:rPr>
                      <w:t xml:space="preserve">Emergency department service episode end status</w:t>
                    </w:r>
                  </w:hyperlink>
                </w:p>
              </w:tc>
              <w:tc>
                <w:tcPr>
                  <w:vAlign w:val="top"/>
                </w:tcPr>
                <w:p>
                  <w:r>
                    <w:t xml:space="preserve">474159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bea046823c2542fd">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7734282fb4e4735">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42970e41823e4a96">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3ae47d95791e40f5">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197acaab9b4e51">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2c195a92f28437e">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7cb639ee683c467b">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e3e1ec4374624507">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7673d1fa0774d4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0a9aaede290491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9bc86b2cef420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24269eaa2bc49f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7c9a6e1fd341b0">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6494334188e6407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2d3a73a75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4334188e64079" /><Relationship Type="http://schemas.openxmlformats.org/officeDocument/2006/relationships/header" Target="/word/header1.xml" Id="R2df3cd3f3d8942a7" /><Relationship Type="http://schemas.openxmlformats.org/officeDocument/2006/relationships/settings" Target="/word/settings.xml" Id="R9932d78ae5344ec5" /><Relationship Type="http://schemas.openxmlformats.org/officeDocument/2006/relationships/styles" Target="/word/styles.xml" Id="R068ee05150f744d2" /><Relationship Type="http://schemas.openxmlformats.org/officeDocument/2006/relationships/hyperlink" Target="https://meteor-uat.aihw.gov.au/content/429894" TargetMode="External" Id="R268afd9b48b14351" /><Relationship Type="http://schemas.openxmlformats.org/officeDocument/2006/relationships/hyperlink" Target="https://meteor-uat.aihw.gov.au/content/497488" TargetMode="External" Id="Rb28e8c86b9814004" /><Relationship Type="http://schemas.openxmlformats.org/officeDocument/2006/relationships/hyperlink" Target="https://meteor-uat.aihw.gov.au/content/497496" TargetMode="External" Id="R970d1deded994397" /><Relationship Type="http://schemas.openxmlformats.org/officeDocument/2006/relationships/hyperlink" Target="https://meteor-uat.aihw.gov.au/content/474436" TargetMode="External" Id="R2ffea72e1b5f4ca0" /><Relationship Type="http://schemas.openxmlformats.org/officeDocument/2006/relationships/hyperlink" Target="https://meteor-uat.aihw.gov.au/content/474438" TargetMode="External" Id="R8a98e308acea4e23" /><Relationship Type="http://schemas.openxmlformats.org/officeDocument/2006/relationships/hyperlink" Target="https://meteor-uat.aihw.gov.au/content/471886" TargetMode="External" Id="R872d93148ddc46fb" /><Relationship Type="http://schemas.openxmlformats.org/officeDocument/2006/relationships/hyperlink" Target="https://meteor-uat.aihw.gov.au/content/471889" TargetMode="External" Id="R73e0c20587ea4375" /><Relationship Type="http://schemas.openxmlformats.org/officeDocument/2006/relationships/hyperlink" Target="https://meteor-uat.aihw.gov.au/content/497490" TargetMode="External" Id="Red261811b57b4768" /><Relationship Type="http://schemas.openxmlformats.org/officeDocument/2006/relationships/hyperlink" Target="https://meteor-uat.aihw.gov.au/content/471921" TargetMode="External" Id="R37bc90081d6a49f9" /><Relationship Type="http://schemas.openxmlformats.org/officeDocument/2006/relationships/hyperlink" Target="https://meteor-uat.aihw.gov.au/content/495958" TargetMode="External" Id="R82b367b1b90b402f" /><Relationship Type="http://schemas.openxmlformats.org/officeDocument/2006/relationships/hyperlink" Target="https://meteor-uat.aihw.gov.au/content/547612" TargetMode="External" Id="R68608a2836494706" /><Relationship Type="http://schemas.openxmlformats.org/officeDocument/2006/relationships/hyperlink" Target="https://meteor-uat.aihw.gov.au/content/471932" TargetMode="External" Id="R70da909e95c54185" /><Relationship Type="http://schemas.openxmlformats.org/officeDocument/2006/relationships/hyperlink" Target="https://meteor-uat.aihw.gov.au/content/270092" TargetMode="External" Id="R60811124d7494830" /><Relationship Type="http://schemas.openxmlformats.org/officeDocument/2006/relationships/hyperlink" Target="https://meteor-uat.aihw.gov.au/content/269973" TargetMode="External" Id="R9a1aef15845849bb" /><Relationship Type="http://schemas.openxmlformats.org/officeDocument/2006/relationships/hyperlink" Target="https://meteor-uat.aihw.gov.au/content/474116" TargetMode="External" Id="R7666a7ba3bcd4c6c" /><Relationship Type="http://schemas.openxmlformats.org/officeDocument/2006/relationships/hyperlink" Target="https://meteor-uat.aihw.gov.au/content/474118" TargetMode="External" Id="R38e55b0d8f5c4078" /><Relationship Type="http://schemas.openxmlformats.org/officeDocument/2006/relationships/hyperlink" Target="https://meteor-uat.aihw.gov.au/content/474138" TargetMode="External" Id="Rac1184c11e4c48ed" /><Relationship Type="http://schemas.openxmlformats.org/officeDocument/2006/relationships/hyperlink" Target="https://meteor-uat.aihw.gov.au/content/474159" TargetMode="External" Id="Rba69796fff204bba" /><Relationship Type="http://schemas.openxmlformats.org/officeDocument/2006/relationships/hyperlink" Target="https://meteor-uat.aihw.gov.au/content/474169" TargetMode="External" Id="Rbea046823c2542fd" /><Relationship Type="http://schemas.openxmlformats.org/officeDocument/2006/relationships/hyperlink" Target="https://meteor-uat.aihw.gov.au/content/474181" TargetMode="External" Id="R97734282fb4e4735" /><Relationship Type="http://schemas.openxmlformats.org/officeDocument/2006/relationships/hyperlink" Target="https://meteor-uat.aihw.gov.au/content/474185" TargetMode="External" Id="R42970e41823e4a96" /><Relationship Type="http://schemas.openxmlformats.org/officeDocument/2006/relationships/hyperlink" Target="https://meteor-uat.aihw.gov.au/content/474189" TargetMode="External" Id="R3ae47d95791e40f5" /><Relationship Type="http://schemas.openxmlformats.org/officeDocument/2006/relationships/hyperlink" Target="https://meteor-uat.aihw.gov.au/content/474193" TargetMode="External" Id="R48197acaab9b4e51" /><Relationship Type="http://schemas.openxmlformats.org/officeDocument/2006/relationships/hyperlink" Target="https://meteor-uat.aihw.gov.au/content/270100" TargetMode="External" Id="R82c195a92f28437e" /><Relationship Type="http://schemas.openxmlformats.org/officeDocument/2006/relationships/hyperlink" Target="https://meteor-uat.aihw.gov.au/content/469909" TargetMode="External" Id="R7cb639ee683c467b" /><Relationship Type="http://schemas.openxmlformats.org/officeDocument/2006/relationships/hyperlink" Target="https://meteor-uat.aihw.gov.au/content/459973" TargetMode="External" Id="Re3e1ec4374624507" /><Relationship Type="http://schemas.openxmlformats.org/officeDocument/2006/relationships/hyperlink" Target="https://meteor-uat.aihw.gov.au/content/287007" TargetMode="External" Id="Rd7673d1fa0774d49" /><Relationship Type="http://schemas.openxmlformats.org/officeDocument/2006/relationships/hyperlink" Target="https://meteor-uat.aihw.gov.au/content/291036" TargetMode="External" Id="Rd0a9aaede290491f" /><Relationship Type="http://schemas.openxmlformats.org/officeDocument/2006/relationships/hyperlink" Target="https://meteor-uat.aihw.gov.au/content/290046" TargetMode="External" Id="R0e9bc86b2cef420a" /><Relationship Type="http://schemas.openxmlformats.org/officeDocument/2006/relationships/hyperlink" Target="https://meteor-uat.aihw.gov.au/content/287316" TargetMode="External" Id="Re24269eaa2bc49ff" /><Relationship Type="http://schemas.openxmlformats.org/officeDocument/2006/relationships/hyperlink" Target="https://meteor-uat.aihw.gov.au/content/555463" TargetMode="External" Id="Re67c9a6e1fd341b0" /></Relationships>
</file>

<file path=word/_rels/header1.xml.rels>&#65279;<?xml version="1.0" encoding="utf-8"?><Relationships xmlns="http://schemas.openxmlformats.org/package/2006/relationships"><Relationship Type="http://schemas.openxmlformats.org/officeDocument/2006/relationships/image" Target="/media/image.png" Id="R9a12d3a73a754d39" /></Relationships>
</file>