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fadf94c264b61"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724ceb56b84448e">
                    <w:r>
                      <w:rPr>
                        <w:rStyle w:val="Hyperlink"/>
                      </w:rPr>
                      <w:t xml:space="preserve">Dwelling (housing assistance) cluster</w:t>
                    </w:r>
                  </w:hyperlink>
                </w:p>
              </w:tc>
              <w:tc>
                <w:tcPr>
                  <w:vAlign w:val="top"/>
                </w:tcPr>
                <w:p>
                  <w:r>
                    <w:t xml:space="preserve">459147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c5c3b72f2364e62">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bed2f27bb85341d0">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5c9741627c4710">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769bb517ab5464a">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9bc84bf711e4383">
                    <w:r>
                      <w:rPr>
                        <w:rStyle w:val="Hyperlink"/>
                      </w:rPr>
                      <w:t xml:space="preserve">Dwelling redevelopment indicator</w:t>
                    </w:r>
                  </w:hyperlink>
                </w:p>
              </w:tc>
              <w:tc>
                <w:tcPr>
                  <w:vAlign w:val="top"/>
                </w:tcPr>
                <w:p>
                  <w:r>
                    <w:t xml:space="preserve">459053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bb67b354d14d8c">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555fd21bd34da9">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3ad87086d7f45cd">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5ad6609c474e57">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b499e0397cb4307">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2</w:t>
                  </w:r>
                </w:p>
              </w:tc>
              <w:tc>
                <w:tcPr>
                  <w:tcMar/>
                  <w:vAlign w:val="top"/>
                </w:tcPr>
                <w:p>
                  <w:hyperlink w:history="true" r:id="R859c0f1e7f174b62">
                    <w:r>
                      <w:rPr>
                        <w:rStyle w:val="Hyperlink"/>
                      </w:rPr>
                      <w:t xml:space="preserve">Dwelling history (housing assistance) cluster</w:t>
                    </w:r>
                  </w:hyperlink>
                </w:p>
              </w:tc>
              <w:tc>
                <w:tcPr>
                  <w:vAlign w:val="top"/>
                </w:tcPr>
                <w:p>
                  <w:r>
                    <w:t xml:space="preserve">478915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aba5626a7f04cf8">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746282e669d4d20">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5b56f35b96847a0">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1e94d208d0b4a21">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9475004f19a84b2c">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191b6f510db42c0">
                    <w:r>
                      <w:rPr>
                        <w:rStyle w:val="Hyperlink"/>
                      </w:rPr>
                      <w:t xml:space="preserve">Vacancy reason</w:t>
                    </w:r>
                  </w:hyperlink>
                </w:p>
              </w:tc>
              <w:tc>
                <w:tcPr>
                  <w:vAlign w:val="top"/>
                </w:tcPr>
                <w:p>
                  <w:r>
                    <w:t xml:space="preserve">478921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2967308c2604213">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b32aa136f2574bbb">
                    <w:r>
                      <w:rPr>
                        <w:rStyle w:val="Hyperlink"/>
                      </w:rPr>
                      <w:t xml:space="preserve">Household (housing assistance) cluster</w:t>
                    </w:r>
                  </w:hyperlink>
                </w:p>
              </w:tc>
              <w:tc>
                <w:tcPr>
                  <w:vAlign w:val="top"/>
                </w:tcPr>
                <w:p>
                  <w:r>
                    <w:t xml:space="preserve">459886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69a5326c94f43d2">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5697ec705284ad0">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e951372273749d2">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27157ae3c2c47b4">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4b311ee8ca614e87">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9915cca9d5747b2">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5f37dcd540b4f57">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ba7a429a0094f34">
                    <w:r>
                      <w:rPr>
                        <w:rStyle w:val="Hyperlink"/>
                      </w:rPr>
                      <w:t xml:space="preserve">Disability household</w:t>
                    </w:r>
                  </w:hyperlink>
                </w:p>
              </w:tc>
              <w:tc>
                <w:tcPr>
                  <w:vAlign w:val="top"/>
                </w:tcPr>
                <w:p>
                  <w:r>
                    <w:t xml:space="preserve">302949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df5f2966f347ad">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2325bafd80f489d">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14e706a05244a8e">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bd5607c3fc4a50">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776e900ee4c14ec9">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34952498a614919">
                    <w:r>
                      <w:rPr>
                        <w:rStyle w:val="Hyperlink"/>
                      </w:rPr>
                      <w:t xml:space="preserve">Household Indigenous status</w:t>
                    </w:r>
                  </w:hyperlink>
                </w:p>
              </w:tc>
              <w:tc>
                <w:tcPr>
                  <w:vAlign w:val="top"/>
                </w:tcPr>
                <w:p>
                  <w:r>
                    <w:t xml:space="preserve">460738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983c2f9ab4945bf">
                    <w:r>
                      <w:rPr>
                        <w:rStyle w:val="Hyperlink"/>
                      </w:rPr>
                      <w:t xml:space="preserve">New allocation status</w:t>
                    </w:r>
                  </w:hyperlink>
                </w:p>
              </w:tc>
              <w:tc>
                <w:tcPr>
                  <w:vAlign w:val="top"/>
                </w:tcPr>
                <w:p>
                  <w:r>
                    <w:t xml:space="preserve">301783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3a93170d7bc418e">
                    <w:r>
                      <w:rPr>
                        <w:rStyle w:val="Hyperlink"/>
                      </w:rPr>
                      <w:t xml:space="preserve">Rebated household status</w:t>
                    </w:r>
                  </w:hyperlink>
                </w:p>
              </w:tc>
              <w:tc>
                <w:tcPr>
                  <w:vAlign w:val="top"/>
                </w:tcPr>
                <w:p>
                  <w:r>
                    <w:t xml:space="preserve">302581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961ffed538b4430">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2b54f5c2f55a4a5a">
                    <w:r>
                      <w:rPr>
                        <w:rStyle w:val="Hyperlink"/>
                      </w:rPr>
                      <w:t xml:space="preserve">Transfer status</w:t>
                    </w:r>
                  </w:hyperlink>
                </w:p>
              </w:tc>
              <w:tc>
                <w:tcPr>
                  <w:vAlign w:val="top"/>
                </w:tcPr>
                <w:p>
                  <w:r>
                    <w:t xml:space="preserve">301987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02f1785b1134771">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f5dbc4cab0074492">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6d30cb581fe4735">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968138cc7754b8e">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880229badda14704">
                    <w:r>
                      <w:rPr>
                        <w:rStyle w:val="Hyperlink"/>
                      </w:rPr>
                      <w:t xml:space="preserve">Person (housing assistance) cluster</w:t>
                    </w:r>
                  </w:hyperlink>
                </w:p>
              </w:tc>
              <w:tc>
                <w:tcPr>
                  <w:vAlign w:val="top"/>
                </w:tcPr>
                <w:p>
                  <w:r>
                    <w:t xml:space="preserve">459133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1b3ecfa140c49c7">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323a8a4c8a24837">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4b41dd5851a48ec">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93ad9422c9d42fa">
                    <w:r>
                      <w:rPr>
                        <w:rStyle w:val="Hyperlink"/>
                      </w:rPr>
                      <w:t xml:space="preserve">Relationship within income unit</w:t>
                    </w:r>
                  </w:hyperlink>
                </w:p>
              </w:tc>
              <w:tc>
                <w:tcPr>
                  <w:vAlign w:val="top"/>
                </w:tcPr>
                <w:p>
                  <w:r>
                    <w:t xml:space="preserve">301840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f2039829dd5440e">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8fb36139c534ac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b8f6ea5ad65423e">
                    <w:r>
                      <w:rPr>
                        <w:rStyle w:val="Hyperlink"/>
                      </w:rPr>
                      <w:t xml:space="preserve">Disability status</w:t>
                    </w:r>
                  </w:hyperlink>
                </w:p>
              </w:tc>
              <w:tc>
                <w:tcPr>
                  <w:vAlign w:val="top"/>
                </w:tcPr>
                <w:p>
                  <w:r>
                    <w:t xml:space="preserve">312934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5b3fa9afcac4d0d">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7f2a61382ab4a8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0cf036d063425d">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b41be6a074c4b7a">
                    <w:r>
                      <w:rPr>
                        <w:rStyle w:val="Hyperlink"/>
                      </w:rPr>
                      <w:t xml:space="preserve">Relationship to reference person</w:t>
                    </w:r>
                  </w:hyperlink>
                </w:p>
              </w:tc>
              <w:tc>
                <w:tcPr>
                  <w:vAlign w:val="top"/>
                </w:tcPr>
                <w:p>
                  <w:r>
                    <w:t xml:space="preserve">270248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6f89fa35f04c2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2926d225d8e74782">
                    <w:r>
                      <w:rPr>
                        <w:rStyle w:val="Hyperlink"/>
                      </w:rPr>
                      <w:t xml:space="preserve">Person income (housing assistance) cluster</w:t>
                    </w:r>
                  </w:hyperlink>
                </w:p>
              </w:tc>
              <w:tc>
                <w:tcPr>
                  <w:vAlign w:val="top"/>
                </w:tcPr>
                <w:p>
                  <w:r>
                    <w:t xml:space="preserve">478940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9403f8a147c488b">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1f128fd2c6b48d9">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d19fa88fcdf4e25">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a31c9cca17b4318">
                    <w:r>
                      <w:rPr>
                        <w:rStyle w:val="Hyperlink"/>
                      </w:rPr>
                      <w:t xml:space="preserve">Income - assessable</w:t>
                    </w:r>
                  </w:hyperlink>
                </w:p>
              </w:tc>
              <w:tc>
                <w:tcPr>
                  <w:vAlign w:val="top"/>
                </w:tcPr>
                <w:p>
                  <w:r>
                    <w:t xml:space="preserve">302218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b0fab15999154d68">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29f0755db2e4214">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b186f07cc80a4f51">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78e8b2fdfcd4da1">
                    <w:r>
                      <w:rPr>
                        <w:rStyle w:val="Hyperlink"/>
                      </w:rPr>
                      <w:t xml:space="preserve">Principal income source (housing)</w:t>
                    </w:r>
                  </w:hyperlink>
                </w:p>
              </w:tc>
              <w:tc>
                <w:tcPr>
                  <w:vAlign w:val="top"/>
                </w:tcPr>
                <w:p>
                  <w:r>
                    <w:t xml:space="preserve">479197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faf696e124436d">
                    <w:r>
                      <w:rPr>
                        <w:rStyle w:val="Hyperlink"/>
                      </w:rPr>
                      <w:t xml:space="preserve">Sources of income (housing)</w:t>
                    </w:r>
                  </w:hyperlink>
                </w:p>
              </w:tc>
              <w:tc>
                <w:tcPr>
                  <w:vAlign w:val="top"/>
                </w:tcPr>
                <w:p>
                  <w:r>
                    <w:t xml:space="preserve">513378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5ae3cfe0bc5e4b6f">
                    <w:r>
                      <w:rPr>
                        <w:rStyle w:val="Hyperlink"/>
                      </w:rPr>
                      <w:t xml:space="preserve">Waitlist (housing assistance) cluster</w:t>
                    </w:r>
                  </w:hyperlink>
                </w:p>
              </w:tc>
              <w:tc>
                <w:tcPr>
                  <w:vAlign w:val="top"/>
                </w:tcPr>
                <w:p>
                  <w:r>
                    <w:t xml:space="preserve">459131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048a7e2f488444d">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80ddbb7b2c44966">
                    <w:r>
                      <w:rPr>
                        <w:rStyle w:val="Hyperlink"/>
                      </w:rPr>
                      <w:t xml:space="preserve">Waitlist application indicator</w:t>
                    </w:r>
                  </w:hyperlink>
                </w:p>
              </w:tc>
              <w:tc>
                <w:tcPr>
                  <w:vAlign w:val="top"/>
                </w:tcPr>
                <w:p>
                  <w:r>
                    <w:t xml:space="preserve">444367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84e035f011a42b1">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bd202d7081342bd">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1a7b28eb97d411b">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8ed21de2f264c04">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1e1dcf72e794383">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d1586c2e954008">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db8e56624144399">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b7aab74cac92435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2563ff53b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ab74cac92435b" /><Relationship Type="http://schemas.openxmlformats.org/officeDocument/2006/relationships/header" Target="/word/header1.xml" Id="Rdb9a9491f4f042f0" /><Relationship Type="http://schemas.openxmlformats.org/officeDocument/2006/relationships/settings" Target="/word/settings.xml" Id="R7b3a5fd738884432" /><Relationship Type="http://schemas.openxmlformats.org/officeDocument/2006/relationships/styles" Target="/word/styles.xml" Id="R854581e737954f13" /><Relationship Type="http://schemas.openxmlformats.org/officeDocument/2006/relationships/hyperlink" Target="https://meteor-uat.aihw.gov.au/content/459147" TargetMode="External" Id="Re724ceb56b84448e" /><Relationship Type="http://schemas.openxmlformats.org/officeDocument/2006/relationships/hyperlink" Target="https://meteor-uat.aihw.gov.au/content/429894" TargetMode="External" Id="R6c5c3b72f2364e62" /><Relationship Type="http://schemas.openxmlformats.org/officeDocument/2006/relationships/hyperlink" Target="https://meteor-uat.aihw.gov.au/content/302044" TargetMode="External" Id="Rbed2f27bb85341d0" /><Relationship Type="http://schemas.openxmlformats.org/officeDocument/2006/relationships/hyperlink" Target="https://meteor-uat.aihw.gov.au/content/302656" TargetMode="External" Id="Re55c9741627c4710" /><Relationship Type="http://schemas.openxmlformats.org/officeDocument/2006/relationships/hyperlink" Target="https://meteor-uat.aihw.gov.au/content/459031" TargetMode="External" Id="R8769bb517ab5464a" /><Relationship Type="http://schemas.openxmlformats.org/officeDocument/2006/relationships/hyperlink" Target="https://meteor-uat.aihw.gov.au/content/459053" TargetMode="External" Id="R29bc84bf711e4383" /><Relationship Type="http://schemas.openxmlformats.org/officeDocument/2006/relationships/hyperlink" Target="https://meteor-uat.aihw.gov.au/content/479778" TargetMode="External" Id="R0dbb67b354d14d8c" /><Relationship Type="http://schemas.openxmlformats.org/officeDocument/2006/relationships/hyperlink" Target="https://meteor-uat.aihw.gov.au/content/302863" TargetMode="External" Id="R45555fd21bd34da9" /><Relationship Type="http://schemas.openxmlformats.org/officeDocument/2006/relationships/hyperlink" Target="https://meteor-uat.aihw.gov.au/content/270125" TargetMode="External" Id="Rb3ad87086d7f45cd" /><Relationship Type="http://schemas.openxmlformats.org/officeDocument/2006/relationships/hyperlink" Target="https://meteor-uat.aihw.gov.au/content/302930" TargetMode="External" Id="Rba5ad6609c474e57" /><Relationship Type="http://schemas.openxmlformats.org/officeDocument/2006/relationships/hyperlink" Target="https://meteor-uat.aihw.gov.au/content/444432" TargetMode="External" Id="R0b499e0397cb4307" /><Relationship Type="http://schemas.openxmlformats.org/officeDocument/2006/relationships/hyperlink" Target="https://meteor-uat.aihw.gov.au/content/478915" TargetMode="External" Id="R859c0f1e7f174b62" /><Relationship Type="http://schemas.openxmlformats.org/officeDocument/2006/relationships/hyperlink" Target="https://meteor-uat.aihw.gov.au/content/302044" TargetMode="External" Id="R8aba5626a7f04cf8" /><Relationship Type="http://schemas.openxmlformats.org/officeDocument/2006/relationships/hyperlink" Target="https://meteor-uat.aihw.gov.au/content/302656" TargetMode="External" Id="R4746282e669d4d20" /><Relationship Type="http://schemas.openxmlformats.org/officeDocument/2006/relationships/hyperlink" Target="https://meteor-uat.aihw.gov.au/content/459031" TargetMode="External" Id="R65b56f35b96847a0" /><Relationship Type="http://schemas.openxmlformats.org/officeDocument/2006/relationships/hyperlink" Target="https://meteor-uat.aihw.gov.au/content/459071" TargetMode="External" Id="Rf1e94d208d0b4a21" /><Relationship Type="http://schemas.openxmlformats.org/officeDocument/2006/relationships/hyperlink" Target="https://meteor-uat.aihw.gov.au/content/474746" TargetMode="External" Id="R9475004f19a84b2c" /><Relationship Type="http://schemas.openxmlformats.org/officeDocument/2006/relationships/hyperlink" Target="https://meteor-uat.aihw.gov.au/content/478921" TargetMode="External" Id="R9191b6f510db42c0" /><Relationship Type="http://schemas.openxmlformats.org/officeDocument/2006/relationships/hyperlink" Target="https://meteor-uat.aihw.gov.au/content/473940" TargetMode="External" Id="Rf2967308c2604213" /><Relationship Type="http://schemas.openxmlformats.org/officeDocument/2006/relationships/hyperlink" Target="https://meteor-uat.aihw.gov.au/content/459886" TargetMode="External" Id="Rb32aa136f2574bbb" /><Relationship Type="http://schemas.openxmlformats.org/officeDocument/2006/relationships/hyperlink" Target="https://meteor-uat.aihw.gov.au/content/302656" TargetMode="External" Id="R869a5326c94f43d2" /><Relationship Type="http://schemas.openxmlformats.org/officeDocument/2006/relationships/hyperlink" Target="https://meteor-uat.aihw.gov.au/content/459031" TargetMode="External" Id="R05697ec705284ad0" /><Relationship Type="http://schemas.openxmlformats.org/officeDocument/2006/relationships/hyperlink" Target="https://meteor-uat.aihw.gov.au/content/479783" TargetMode="External" Id="R7e951372273749d2" /><Relationship Type="http://schemas.openxmlformats.org/officeDocument/2006/relationships/hyperlink" Target="https://meteor-uat.aihw.gov.au/content/444432" TargetMode="External" Id="R427157ae3c2c47b4" /><Relationship Type="http://schemas.openxmlformats.org/officeDocument/2006/relationships/hyperlink" Target="https://meteor-uat.aihw.gov.au/content/472571" TargetMode="External" Id="R4b311ee8ca614e87" /><Relationship Type="http://schemas.openxmlformats.org/officeDocument/2006/relationships/hyperlink" Target="https://meteor-uat.aihw.gov.au/content/462194" TargetMode="External" Id="R89915cca9d5747b2" /><Relationship Type="http://schemas.openxmlformats.org/officeDocument/2006/relationships/hyperlink" Target="https://meteor-uat.aihw.gov.au/content/385981" TargetMode="External" Id="Rd5f37dcd540b4f57" /><Relationship Type="http://schemas.openxmlformats.org/officeDocument/2006/relationships/hyperlink" Target="https://meteor-uat.aihw.gov.au/content/302949" TargetMode="External" Id="R2ba7a429a0094f34" /><Relationship Type="http://schemas.openxmlformats.org/officeDocument/2006/relationships/hyperlink" Target="https://meteor-uat.aihw.gov.au/content/388447" TargetMode="External" Id="Rfedf5f2966f347ad" /><Relationship Type="http://schemas.openxmlformats.org/officeDocument/2006/relationships/hyperlink" Target="https://meteor-uat.aihw.gov.au/content/456559" TargetMode="External" Id="Rb2325bafd80f489d" /><Relationship Type="http://schemas.openxmlformats.org/officeDocument/2006/relationships/hyperlink" Target="https://meteor-uat.aihw.gov.au/content/462210" TargetMode="External" Id="R614e706a05244a8e" /><Relationship Type="http://schemas.openxmlformats.org/officeDocument/2006/relationships/hyperlink" Target="https://meteor-uat.aihw.gov.au/content/452645" TargetMode="External" Id="Rd1bd5607c3fc4a50" /><Relationship Type="http://schemas.openxmlformats.org/officeDocument/2006/relationships/hyperlink" Target="https://meteor-uat.aihw.gov.au/content/302662" TargetMode="External" Id="R776e900ee4c14ec9" /><Relationship Type="http://schemas.openxmlformats.org/officeDocument/2006/relationships/hyperlink" Target="https://meteor-uat.aihw.gov.au/content/460738" TargetMode="External" Id="R234952498a614919" /><Relationship Type="http://schemas.openxmlformats.org/officeDocument/2006/relationships/hyperlink" Target="https://meteor-uat.aihw.gov.au/content/301783" TargetMode="External" Id="R5983c2f9ab4945bf" /><Relationship Type="http://schemas.openxmlformats.org/officeDocument/2006/relationships/hyperlink" Target="https://meteor-uat.aihw.gov.au/content/302581" TargetMode="External" Id="R03a93170d7bc418e" /><Relationship Type="http://schemas.openxmlformats.org/officeDocument/2006/relationships/hyperlink" Target="https://meteor-uat.aihw.gov.au/content/302600" TargetMode="External" Id="R6961ffed538b4430" /><Relationship Type="http://schemas.openxmlformats.org/officeDocument/2006/relationships/hyperlink" Target="https://meteor-uat.aihw.gov.au/content/301987" TargetMode="External" Id="R2b54f5c2f55a4a5a" /><Relationship Type="http://schemas.openxmlformats.org/officeDocument/2006/relationships/hyperlink" Target="https://meteor-uat.aihw.gov.au/content/461250" TargetMode="External" Id="Rd02f1785b1134771" /><Relationship Type="http://schemas.openxmlformats.org/officeDocument/2006/relationships/hyperlink" Target="https://meteor-uat.aihw.gov.au/content/498318" TargetMode="External" Id="Rf5dbc4cab0074492" /><Relationship Type="http://schemas.openxmlformats.org/officeDocument/2006/relationships/hyperlink" Target="https://meteor-uat.aihw.gov.au/content/474692" TargetMode="External" Id="R46d30cb581fe4735" /><Relationship Type="http://schemas.openxmlformats.org/officeDocument/2006/relationships/hyperlink" Target="https://meteor-uat.aihw.gov.au/content/302685" TargetMode="External" Id="R9968138cc7754b8e" /><Relationship Type="http://schemas.openxmlformats.org/officeDocument/2006/relationships/hyperlink" Target="https://meteor-uat.aihw.gov.au/content/459133" TargetMode="External" Id="R880229badda14704" /><Relationship Type="http://schemas.openxmlformats.org/officeDocument/2006/relationships/hyperlink" Target="https://meteor-uat.aihw.gov.au/content/459031" TargetMode="External" Id="R31b3ecfa140c49c7" /><Relationship Type="http://schemas.openxmlformats.org/officeDocument/2006/relationships/hyperlink" Target="https://meteor-uat.aihw.gov.au/content/302662" TargetMode="External" Id="R7323a8a4c8a24837" /><Relationship Type="http://schemas.openxmlformats.org/officeDocument/2006/relationships/hyperlink" Target="https://meteor-uat.aihw.gov.au/content/302669" TargetMode="External" Id="R04b41dd5851a48ec" /><Relationship Type="http://schemas.openxmlformats.org/officeDocument/2006/relationships/hyperlink" Target="https://meteor-uat.aihw.gov.au/content/301840" TargetMode="External" Id="R993ad9422c9d42fa" /><Relationship Type="http://schemas.openxmlformats.org/officeDocument/2006/relationships/hyperlink" Target="https://meteor-uat.aihw.gov.au/content/286919" TargetMode="External" Id="R2f2039829dd5440e" /><Relationship Type="http://schemas.openxmlformats.org/officeDocument/2006/relationships/hyperlink" Target="https://meteor-uat.aihw.gov.au/content/287007" TargetMode="External" Id="R88fb36139c534ac5" /><Relationship Type="http://schemas.openxmlformats.org/officeDocument/2006/relationships/hyperlink" Target="https://meteor-uat.aihw.gov.au/content/312934" TargetMode="External" Id="Rcb8f6ea5ad65423e" /><Relationship Type="http://schemas.openxmlformats.org/officeDocument/2006/relationships/hyperlink" Target="https://meteor-uat.aihw.gov.au/content/456321" TargetMode="External" Id="Ra5b3fa9afcac4d0d" /><Relationship Type="http://schemas.openxmlformats.org/officeDocument/2006/relationships/hyperlink" Target="https://meteor-uat.aihw.gov.au/content/291036" TargetMode="External" Id="R67f2a61382ab4a8f" /><Relationship Type="http://schemas.openxmlformats.org/officeDocument/2006/relationships/hyperlink" Target="https://meteor-uat.aihw.gov.au/content/302678" TargetMode="External" Id="R780cf036d063425d" /><Relationship Type="http://schemas.openxmlformats.org/officeDocument/2006/relationships/hyperlink" Target="https://meteor-uat.aihw.gov.au/content/270248" TargetMode="External" Id="Reb41be6a074c4b7a" /><Relationship Type="http://schemas.openxmlformats.org/officeDocument/2006/relationships/hyperlink" Target="https://meteor-uat.aihw.gov.au/content/287316" TargetMode="External" Id="R156f89fa35f04c24" /><Relationship Type="http://schemas.openxmlformats.org/officeDocument/2006/relationships/hyperlink" Target="https://meteor-uat.aihw.gov.au/content/478940" TargetMode="External" Id="R2926d225d8e74782" /><Relationship Type="http://schemas.openxmlformats.org/officeDocument/2006/relationships/hyperlink" Target="https://meteor-uat.aihw.gov.au/content/459031" TargetMode="External" Id="Rf9403f8a147c488b" /><Relationship Type="http://schemas.openxmlformats.org/officeDocument/2006/relationships/hyperlink" Target="https://meteor-uat.aihw.gov.au/content/302662" TargetMode="External" Id="Rc1f128fd2c6b48d9" /><Relationship Type="http://schemas.openxmlformats.org/officeDocument/2006/relationships/hyperlink" Target="https://meteor-uat.aihw.gov.au/content/302669" TargetMode="External" Id="R2d19fa88fcdf4e25" /><Relationship Type="http://schemas.openxmlformats.org/officeDocument/2006/relationships/hyperlink" Target="https://meteor-uat.aihw.gov.au/content/302218" TargetMode="External" Id="R2a31c9cca17b4318" /><Relationship Type="http://schemas.openxmlformats.org/officeDocument/2006/relationships/hyperlink" Target="https://meteor-uat.aihw.gov.au/content/286919" TargetMode="External" Id="Rb0fab15999154d68" /><Relationship Type="http://schemas.openxmlformats.org/officeDocument/2006/relationships/hyperlink" Target="https://meteor-uat.aihw.gov.au/content/302481" TargetMode="External" Id="R629f0755db2e4214" /><Relationship Type="http://schemas.openxmlformats.org/officeDocument/2006/relationships/hyperlink" Target="https://meteor-uat.aihw.gov.au/content/302678" TargetMode="External" Id="Rb186f07cc80a4f51" /><Relationship Type="http://schemas.openxmlformats.org/officeDocument/2006/relationships/hyperlink" Target="https://meteor-uat.aihw.gov.au/content/479197" TargetMode="External" Id="R078e8b2fdfcd4da1" /><Relationship Type="http://schemas.openxmlformats.org/officeDocument/2006/relationships/hyperlink" Target="https://meteor-uat.aihw.gov.au/content/513378" TargetMode="External" Id="Ra9faf696e124436d" /><Relationship Type="http://schemas.openxmlformats.org/officeDocument/2006/relationships/hyperlink" Target="https://meteor-uat.aihw.gov.au/content/459131" TargetMode="External" Id="R5ae3cfe0bc5e4b6f" /><Relationship Type="http://schemas.openxmlformats.org/officeDocument/2006/relationships/hyperlink" Target="https://meteor-uat.aihw.gov.au/content/459031" TargetMode="External" Id="R3048a7e2f488444d" /><Relationship Type="http://schemas.openxmlformats.org/officeDocument/2006/relationships/hyperlink" Target="https://meteor-uat.aihw.gov.au/content/444367" TargetMode="External" Id="R080ddbb7b2c44966" /><Relationship Type="http://schemas.openxmlformats.org/officeDocument/2006/relationships/hyperlink" Target="https://meteor-uat.aihw.gov.au/content/472571" TargetMode="External" Id="R584e035f011a42b1" /><Relationship Type="http://schemas.openxmlformats.org/officeDocument/2006/relationships/hyperlink" Target="https://meteor-uat.aihw.gov.au/content/463944" TargetMode="External" Id="R3bd202d7081342bd" /><Relationship Type="http://schemas.openxmlformats.org/officeDocument/2006/relationships/hyperlink" Target="https://meteor-uat.aihw.gov.au/content/385981" TargetMode="External" Id="R61a7b28eb97d411b" /><Relationship Type="http://schemas.openxmlformats.org/officeDocument/2006/relationships/hyperlink" Target="https://meteor-uat.aihw.gov.au/content/388447" TargetMode="External" Id="Rf8ed21de2f264c04" /><Relationship Type="http://schemas.openxmlformats.org/officeDocument/2006/relationships/hyperlink" Target="https://meteor-uat.aihw.gov.au/content/456559" TargetMode="External" Id="R11e1dcf72e794383" /><Relationship Type="http://schemas.openxmlformats.org/officeDocument/2006/relationships/hyperlink" Target="https://meteor-uat.aihw.gov.au/content/462210" TargetMode="External" Id="R25d1586c2e954008" /><Relationship Type="http://schemas.openxmlformats.org/officeDocument/2006/relationships/hyperlink" Target="https://meteor-uat.aihw.gov.au/content/302685" TargetMode="External" Id="R1db8e56624144399" /></Relationships>
</file>

<file path=word/_rels/header1.xml.rels>&#65279;<?xml version="1.0" encoding="utf-8"?><Relationships xmlns="http://schemas.openxmlformats.org/package/2006/relationships"><Relationship Type="http://schemas.openxmlformats.org/officeDocument/2006/relationships/image" Target="/media/image.png" Id="Reba2563ff53b4854" /></Relationships>
</file>