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f911350084370" /></Relationships>
</file>

<file path=word/document.xml><?xml version="1.0" encoding="utf-8"?>
<w:document xmlns:r="http://schemas.openxmlformats.org/officeDocument/2006/relationships" xmlns:w="http://schemas.openxmlformats.org/wordprocessingml/2006/main">
  <w:body>
    <w:p>
      <w:pPr>
        <w:pStyle w:val="Title"/>
      </w:pPr>
      <w:r>
        <w:t>Appointment—occasion of service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occasion of service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ACT_OOS_FLAG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a04ad13ce427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or not an appointment is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7ad90fb97844ff">
              <w:r>
                <w:rPr>
                  <w:rStyle w:val="Hyperlink"/>
                </w:rPr>
                <w:t xml:space="preserve">Appointment—occasion of service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607e94c5764b2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occasion of service is any examination, consultation, treatment or other service provided to a patient, or a group of patients, in a functional unit of a health service or hospital on each occasion that such a service is provided.</w:t>
            </w:r>
          </w:p>
          <w:p>
            <w:pPr>
              <w:spacing w:after="160"/>
            </w:pPr>
            <w:r>
              <w:rPr>
                <w:rStyle w:val="row-content-rich-text"/>
              </w:rPr>
              <w:t xml:space="preserve">A service does not have to be provided in person. As long as the criteria for a valid occasion of service are met, a telephone conversation or telehealth service that is conducted as a substitute for face-to-face contact with the patient should be recorded as an occasion of service.</w:t>
            </w:r>
          </w:p>
          <w:p>
            <w:pPr>
              <w:spacing w:after="160"/>
            </w:pPr>
            <w:r>
              <w:rPr>
                <w:rStyle w:val="row-content-rich-text"/>
              </w:rPr>
              <w:t xml:space="preserve">The location of the provider and patient is not relevant.</w:t>
            </w:r>
          </w:p>
          <w:p>
            <w:pPr>
              <w:spacing w:after="160"/>
            </w:pPr>
            <w:r>
              <w:rPr>
                <w:rStyle w:val="row-content-rich-text"/>
              </w:rPr>
              <w:t xml:space="preserve">An Occasion of Service must satisfy the following criteria:</w:t>
            </w:r>
          </w:p>
          <w:p>
            <w:pPr>
              <w:pStyle w:val="ListParagraph"/>
              <w:numPr>
                <w:ilvl w:val="0"/>
                <w:numId w:val="2"/>
              </w:numPr>
            </w:pPr>
            <w:r>
              <w:rPr>
                <w:rStyle w:val="row-content-rich-text"/>
              </w:rPr>
              <w:t xml:space="preserve">One or more health care providers (e.g. can be one health care provider or multiple health care providers, providing care to a patient at the same time)</w:t>
            </w:r>
          </w:p>
          <w:p>
            <w:pPr>
              <w:pStyle w:val="ListParagraph"/>
              <w:numPr>
                <w:ilvl w:val="0"/>
                <w:numId w:val="2"/>
              </w:numPr>
            </w:pPr>
            <w:r>
              <w:rPr>
                <w:rStyle w:val="row-content-rich-text"/>
              </w:rPr>
              <w:t xml:space="preserve">One or more non-admitted patients</w:t>
            </w:r>
          </w:p>
          <w:p>
            <w:pPr>
              <w:pStyle w:val="ListParagraph"/>
              <w:numPr>
                <w:ilvl w:val="0"/>
                <w:numId w:val="2"/>
              </w:numPr>
            </w:pPr>
            <w:r>
              <w:rPr>
                <w:rStyle w:val="row-content-rich-text"/>
              </w:rPr>
              <w:t xml:space="preserve">An examination, consultation, treatment or other service provided to a patient.</w:t>
            </w:r>
          </w:p>
          <w:p>
            <w:pPr>
              <w:spacing w:after="160"/>
            </w:pPr>
            <w:r>
              <w:rPr>
                <w:rStyle w:val="row-content-rich-text"/>
              </w:rPr>
              <w:t xml:space="preserve">Previously, Occasion of Service was the counting unit used to report to the </w:t>
            </w:r>
            <w:hyperlink w:history="true" r:id="Rf5ae96256fa744a1">
              <w:r>
                <w:rPr>
                  <w:rStyle w:val="Hyperlink"/>
                </w:rPr>
                <w:t xml:space="preserve">Outpatient Care NMDS 2007-13</w:t>
              </w:r>
            </w:hyperlink>
          </w:p>
          <w:p>
            <w:pPr>
              <w:spacing w:after="160"/>
            </w:pPr>
            <w:r>
              <w:rPr>
                <w:rStyle w:val="row-content-rich-text"/>
              </w:rPr>
              <w:t xml:space="preserve">using the data element </w:t>
            </w:r>
            <w:hyperlink w:history="true" r:id="R494390ffb5664278">
              <w:r>
                <w:rPr>
                  <w:rStyle w:val="Hyperlink"/>
                </w:rPr>
                <w:t xml:space="preserve">Establishment-number of occasions of service, total N[NNNNNN]</w:t>
              </w:r>
            </w:hyperlink>
          </w:p>
          <w:p>
            <w:pPr>
              <w:spacing w:after="160"/>
            </w:pPr>
            <w:r>
              <w:rPr>
                <w:rStyle w:val="row-content-rich-text"/>
              </w:rPr>
              <w:t xml:space="preserve"> </w:t>
            </w:r>
          </w:p>
          <w:p>
            <w:pPr>
              <w:spacing w:after="160"/>
            </w:pPr>
            <w:r>
              <w:rPr>
                <w:rStyle w:val="row-content-rich-text"/>
              </w:rPr>
              <w:t xml:space="preserve">This is in contrast to the </w:t>
            </w:r>
            <w:hyperlink w:history="true" r:id="R404b8cc4d4844cbd">
              <w:r>
                <w:rPr>
                  <w:rStyle w:val="Hyperlink"/>
                </w:rPr>
                <w:t xml:space="preserve">Non-admitted patient service event</w:t>
              </w:r>
            </w:hyperlink>
            <w:r>
              <w:rPr>
                <w:rStyle w:val="row-content-rich-text"/>
              </w:rPr>
              <w:t xml:space="preserve">, which has become the counting unit in all national reporting of non-admitted patients since the inception of the </w:t>
            </w:r>
            <w:hyperlink w:history="true" r:id="R93e6bfb89097491c">
              <w:r>
                <w:rPr>
                  <w:rStyle w:val="Hyperlink"/>
                </w:rPr>
                <w:t xml:space="preserve">Non-admitted patient DSS 2013-14</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A non-admitted patient service event must satisfy the following criteria:</w:t>
            </w:r>
          </w:p>
          <w:p>
            <w:pPr>
              <w:pStyle w:val="ListParagraph"/>
              <w:numPr>
                <w:ilvl w:val="0"/>
                <w:numId w:val="3"/>
              </w:numPr>
            </w:pPr>
            <w:r>
              <w:rPr>
                <w:rStyle w:val="row-content-rich-text"/>
              </w:rPr>
              <w:t xml:space="preserve">One or more health care providers</w:t>
            </w:r>
          </w:p>
          <w:p>
            <w:pPr>
              <w:pStyle w:val="ListParagraph"/>
              <w:numPr>
                <w:ilvl w:val="0"/>
                <w:numId w:val="3"/>
              </w:numPr>
            </w:pPr>
            <w:r>
              <w:rPr>
                <w:rStyle w:val="row-content-rich-text"/>
              </w:rPr>
              <w:t xml:space="preserve">One non-admitted patient (each patient receiving care is treated as an individual record regardless of whether they receive care as an individual or part of a group)</w:t>
            </w:r>
          </w:p>
          <w:p>
            <w:pPr>
              <w:pStyle w:val="ListParagraph"/>
              <w:numPr>
                <w:ilvl w:val="0"/>
                <w:numId w:val="3"/>
              </w:numPr>
            </w:pPr>
            <w:r>
              <w:rPr>
                <w:rStyle w:val="row-content-rich-text"/>
              </w:rPr>
              <w:t xml:space="preserve">Must contain clinical or therapeutic content</w:t>
            </w:r>
          </w:p>
          <w:p>
            <w:pPr>
              <w:pStyle w:val="ListParagraph"/>
              <w:numPr>
                <w:ilvl w:val="0"/>
                <w:numId w:val="3"/>
              </w:numPr>
            </w:pPr>
            <w:r>
              <w:rPr>
                <w:rStyle w:val="row-content-rich-text"/>
              </w:rPr>
              <w:t xml:space="preserve">Must result in a dated entry to the patient's medical record.</w:t>
            </w:r>
          </w:p>
          <w:p>
            <w:pPr>
              <w:spacing w:after="160"/>
            </w:pPr>
            <w:r>
              <w:rPr>
                <w:rStyle w:val="row-content-rich-text"/>
              </w:rPr>
              <w:t xml:space="preserve">There are three Non-admitted patient care data set specifications for Activity Based Funding:</w:t>
            </w:r>
          </w:p>
          <w:p>
            <w:pPr>
              <w:pStyle w:val="ListParagraph"/>
              <w:numPr>
                <w:ilvl w:val="0"/>
                <w:numId w:val="4"/>
              </w:numPr>
            </w:pPr>
            <w:r>
              <w:rPr>
                <w:rStyle w:val="row-content-rich-text"/>
              </w:rPr>
              <w:t xml:space="preserve">Non-admitted patient data set specification (NAP DSS) - collects information for each non-admitted patient service event at each clinic of a health facility</w:t>
            </w:r>
          </w:p>
          <w:p>
            <w:pPr>
              <w:pStyle w:val="ListParagraph"/>
              <w:numPr>
                <w:ilvl w:val="0"/>
                <w:numId w:val="4"/>
              </w:numPr>
            </w:pPr>
            <w:r>
              <w:rPr>
                <w:rStyle w:val="row-content-rich-text"/>
              </w:rPr>
              <w:t xml:space="preserve">Non-admitted patient care local hospital network aggregate data set specification - collects the total service events per Tier 2 class for a local health network</w:t>
            </w:r>
          </w:p>
          <w:p>
            <w:pPr>
              <w:pStyle w:val="ListParagraph"/>
              <w:numPr>
                <w:ilvl w:val="0"/>
                <w:numId w:val="4"/>
              </w:numPr>
            </w:pPr>
            <w:r>
              <w:rPr>
                <w:rStyle w:val="row-content-rich-text"/>
              </w:rPr>
              <w:t xml:space="preserve">Non-admitted patient care aggregate National Minimum Data Set (NMDS) - collects the total service events per Tier 2 class of a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National Health Data Dictionary. Version 16 Cat. no. HWI 119. Canberra: AIHW.</w:t>
            </w:r>
          </w:p>
          <w:p>
            <w:pPr/>
            <w:r>
              <w:rPr>
                <w:rStyle w:val="row-content-rich-text"/>
              </w:rPr>
              <w:t xml:space="preserve">Independent Hospital Pricing Authority 2013. Tier 2 Non-admitted services compendium 2014-2015. Canberra: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e35709ff904ebe">
              <w:r>
                <w:rPr>
                  <w:rStyle w:val="Hyperlink"/>
                </w:rPr>
                <w:t xml:space="preserve">Establishment—number of occasions of service, total N[NNNNNN]</w:t>
              </w:r>
            </w:hyperlink>
          </w:p>
          <w:p>
            <w:pPr>
              <w:pStyle w:val="registration-status"/>
              <w:spacing w:before="0" w:after="0"/>
            </w:pPr>
            <w:hyperlink w:history="true" r:id="Rc9d25cfb7a7c4da0">
              <w:r>
                <w:rPr>
                  <w:rStyle w:val="Hyperlink"/>
                  <w:color w:val="244061"/>
                </w:rPr>
                <w:t xml:space="preserve">Health!</w:t>
              </w:r>
            </w:hyperlink>
            <w:r>
              <w:rPr>
                <w:rStyle w:val="row-content"/>
                <w:color w:val="244061"/>
              </w:rPr>
              <w:t xml:space="preserve">, Standard 04/07/2007</w:t>
            </w:r>
          </w:p>
          <w:p>
            <w:r>
              <w:br/>
            </w:r>
            <w:r>
              <w:rPr>
                <w:rStyle w:val="row-content"/>
              </w:rPr>
              <w:t xml:space="preserve">See also </w:t>
            </w:r>
            <w:hyperlink w:history="true" r:id="R24f3fdb6d4d54d99">
              <w:r>
                <w:rPr>
                  <w:rStyle w:val="Hyperlink"/>
                </w:rPr>
                <w:t xml:space="preserve">Non-admitted patient service event</w:t>
              </w:r>
            </w:hyperlink>
          </w:p>
          <w:p>
            <w:pPr>
              <w:pStyle w:val="registration-status"/>
              <w:spacing w:before="0" w:after="0"/>
            </w:pPr>
            <w:hyperlink w:history="true" r:id="R20c24c0531534f3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759caaf5ed94ec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2de0eba80cc413b">
              <w:r>
                <w:rPr>
                  <w:rStyle w:val="Hyperlink"/>
                  <w:color w:val="244061"/>
                </w:rPr>
                <w:t xml:space="preserve">Tasmanian Health</w:t>
              </w:r>
            </w:hyperlink>
            <w:r>
              <w:rPr>
                <w:rStyle w:val="row-content"/>
                <w:color w:val="244061"/>
              </w:rPr>
              <w:t xml:space="preserve">, Superseded 23/11/2016</w:t>
            </w:r>
          </w:p>
          <w:p>
            <w:r>
              <w:br/>
            </w:r>
            <w:r>
              <w:rPr>
                <w:rStyle w:val="row-content"/>
              </w:rPr>
              <w:t xml:space="preserve">See also </w:t>
            </w:r>
            <w:hyperlink w:history="true" r:id="R51f742c2e65546a9">
              <w:r>
                <w:rPr>
                  <w:rStyle w:val="Hyperlink"/>
                </w:rPr>
                <w:t xml:space="preserve">Outpatient care NMDS 2007-13</w:t>
              </w:r>
            </w:hyperlink>
          </w:p>
          <w:p>
            <w:pPr>
              <w:pStyle w:val="registration-status"/>
              <w:spacing w:before="0" w:after="0"/>
            </w:pPr>
            <w:hyperlink w:history="true" r:id="Rbb56274c4113492b">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1eca4f6f924b69">
              <w:r>
                <w:rPr>
                  <w:rStyle w:val="Hyperlink"/>
                </w:rPr>
                <w:t xml:space="preserve">WA Health Non-Admitted Patient Activity and Wait List Data Collection (NAPAAWL DC) 2013-14</w:t>
              </w:r>
            </w:hyperlink>
          </w:p>
          <w:p>
            <w:pPr>
              <w:pStyle w:val="registration-status"/>
              <w:spacing w:before="0" w:after="0"/>
            </w:pPr>
            <w:hyperlink w:history="true" r:id="Rc0618ed7cb094edb">
              <w:r>
                <w:rPr>
                  <w:rStyle w:val="Hyperlink"/>
                  <w:color w:val="244061"/>
                </w:rPr>
                <w:t xml:space="preserve">WA Health</w:t>
              </w:r>
            </w:hyperlink>
            <w:r>
              <w:rPr>
                <w:rStyle w:val="row-content"/>
                <w:color w:val="244061"/>
              </w:rPr>
              <w:t xml:space="preserve">, Standard 19/03/2015</w:t>
            </w:r>
          </w:p>
          <w:p>
            <w:r>
              <w:br/>
            </w:r>
            <w:hyperlink w:history="true" r:id="R3212fc782acf4f06">
              <w:r>
                <w:rPr>
                  <w:rStyle w:val="Hyperlink"/>
                </w:rPr>
                <w:t xml:space="preserve">WA Health Non-Admitted Patient Activity and Wait List Data Collection (NAPAAWL DC) 2014-15</w:t>
              </w:r>
            </w:hyperlink>
          </w:p>
          <w:p>
            <w:pPr>
              <w:pStyle w:val="registration-status"/>
              <w:spacing w:before="0" w:after="0"/>
            </w:pPr>
            <w:hyperlink w:history="true" r:id="R6f01c18540f84c2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707cdc0dcc6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d892c363a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7cdc0dcc64cd0" /><Relationship Type="http://schemas.openxmlformats.org/officeDocument/2006/relationships/header" Target="/word/header1.xml" Id="R0ce2be416b1e4987" /><Relationship Type="http://schemas.openxmlformats.org/officeDocument/2006/relationships/settings" Target="/word/settings.xml" Id="R30d08ee9d5594ee0" /><Relationship Type="http://schemas.openxmlformats.org/officeDocument/2006/relationships/styles" Target="/word/styles.xml" Id="R9f96f50ae58f4614" /><Relationship Type="http://schemas.openxmlformats.org/officeDocument/2006/relationships/numbering" Target="/word/numbering.xml" Id="R5003f64dcbb04c3c" /><Relationship Type="http://schemas.openxmlformats.org/officeDocument/2006/relationships/hyperlink" Target="https://meteor-uat.aihw.gov.au/RegistrationAuthority/5" TargetMode="External" Id="R04aa04ad13ce427d" /><Relationship Type="http://schemas.openxmlformats.org/officeDocument/2006/relationships/hyperlink" Target="https://meteor-uat.aihw.gov.au/content/562737" TargetMode="External" Id="R757ad90fb97844ff" /><Relationship Type="http://schemas.openxmlformats.org/officeDocument/2006/relationships/hyperlink" Target="https://meteor-uat.aihw.gov.au/content/562741" TargetMode="External" Id="R29607e94c5764b23" /><Relationship Type="http://schemas.openxmlformats.org/officeDocument/2006/relationships/hyperlink" Target="https://meteor-uat.aihw.gov.au/content/336862" TargetMode="External" Id="Rf5ae96256fa744a1" /><Relationship Type="http://schemas.openxmlformats.org/officeDocument/2006/relationships/hyperlink" Target="https://meteor-uat.aihw.gov.au/content/336947" TargetMode="External" Id="R494390ffb5664278" /><Relationship Type="http://schemas.openxmlformats.org/officeDocument/2006/relationships/hyperlink" Target="https://meteor-uat.aihw.gov.au/content/400604" TargetMode="External" Id="R404b8cc4d4844cbd" /><Relationship Type="http://schemas.openxmlformats.org/officeDocument/2006/relationships/hyperlink" Target="https://meteor-uat.aihw.gov.au/content/509071" TargetMode="External" Id="R93e6bfb89097491c" /><Relationship Type="http://schemas.openxmlformats.org/officeDocument/2006/relationships/hyperlink" Target="https://meteor-uat.aihw.gov.au/content/336947" TargetMode="External" Id="R38e35709ff904ebe" /><Relationship Type="http://schemas.openxmlformats.org/officeDocument/2006/relationships/hyperlink" Target="https://meteor-uat.aihw.gov.au/RegistrationAuthority/14" TargetMode="External" Id="Rc9d25cfb7a7c4da0" /><Relationship Type="http://schemas.openxmlformats.org/officeDocument/2006/relationships/hyperlink" Target="https://meteor-uat.aihw.gov.au/content/400604" TargetMode="External" Id="R24f3fdb6d4d54d99" /><Relationship Type="http://schemas.openxmlformats.org/officeDocument/2006/relationships/hyperlink" Target="https://meteor-uat.aihw.gov.au/RegistrationAuthority/14" TargetMode="External" Id="R20c24c0531534f3c" /><Relationship Type="http://schemas.openxmlformats.org/officeDocument/2006/relationships/hyperlink" Target="https://meteor-uat.aihw.gov.au/RegistrationAuthority/6" TargetMode="External" Id="R3759caaf5ed94ecd" /><Relationship Type="http://schemas.openxmlformats.org/officeDocument/2006/relationships/hyperlink" Target="https://meteor-uat.aihw.gov.au/RegistrationAuthority/17" TargetMode="External" Id="Rd2de0eba80cc413b" /><Relationship Type="http://schemas.openxmlformats.org/officeDocument/2006/relationships/hyperlink" Target="https://meteor-uat.aihw.gov.au/content/336862" TargetMode="External" Id="R51f742c2e65546a9" /><Relationship Type="http://schemas.openxmlformats.org/officeDocument/2006/relationships/hyperlink" Target="https://meteor-uat.aihw.gov.au/RegistrationAuthority/14" TargetMode="External" Id="Rbb56274c4113492b" /><Relationship Type="http://schemas.openxmlformats.org/officeDocument/2006/relationships/hyperlink" Target="https://meteor-uat.aihw.gov.au/content/490816" TargetMode="External" Id="Rff1eca4f6f924b69" /><Relationship Type="http://schemas.openxmlformats.org/officeDocument/2006/relationships/hyperlink" Target="https://meteor-uat.aihw.gov.au/RegistrationAuthority/5" TargetMode="External" Id="Rc0618ed7cb094edb" /><Relationship Type="http://schemas.openxmlformats.org/officeDocument/2006/relationships/hyperlink" Target="https://meteor-uat.aihw.gov.au/content/605977" TargetMode="External" Id="R3212fc782acf4f06" /><Relationship Type="http://schemas.openxmlformats.org/officeDocument/2006/relationships/hyperlink" Target="https://meteor-uat.aihw.gov.au/RegistrationAuthority/5" TargetMode="External" Id="R6f01c18540f84c26" /></Relationships>
</file>

<file path=word/_rels/header1.xml.rels>&#65279;<?xml version="1.0" encoding="utf-8"?><Relationships xmlns="http://schemas.openxmlformats.org/package/2006/relationships"><Relationship Type="http://schemas.openxmlformats.org/officeDocument/2006/relationships/image" Target="/media/image.png" Id="R81ad892c363a44f0" /></Relationships>
</file>