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711ae082d4e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4a61a4f654edd">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3a0b207fe86454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numbers across age ranges were too few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measure,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are considered to be managing their diabetes effectively.</w:t>
            </w:r>
          </w:p>
          <w:p>
            <w:pPr/>
            <w:r>
              <w:rPr>
                <w:rStyle w:val="row-content-rich-text"/>
              </w:rPr>
              <w:t xml:space="preserve">The estimates exclude persons who did not fast for 8 hours or more prior to their blood test. Excludes women with gestational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compared with 17.6%).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10ca87285409d">
              <w:r>
                <w:rPr>
                  <w:rStyle w:val="Hyperlink"/>
                </w:rPr>
                <w:t xml:space="preserve">National Healthcare Agreement: PI 15-Effective management of diabetes, 2014 QS</w:t>
              </w:r>
            </w:hyperlink>
          </w:p>
          <w:p>
            <w:pPr>
              <w:pStyle w:val="registration-status"/>
              <w:spacing w:before="0" w:after="0"/>
            </w:pPr>
            <w:hyperlink w:history="true" r:id="Rb95ce3ec0a5c403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e37b3af5eb4dc8">
              <w:r>
                <w:rPr>
                  <w:rStyle w:val="Hyperlink"/>
                </w:rPr>
                <w:t xml:space="preserve">National Healthcare Agreement: PI 15-Effective management of diabetes, 2015</w:t>
              </w:r>
            </w:hyperlink>
          </w:p>
          <w:p>
            <w:pPr>
              <w:pStyle w:val="registration-status"/>
              <w:spacing w:before="0" w:after="0"/>
            </w:pPr>
            <w:hyperlink w:history="true" r:id="R116cc08f55f04ac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c6db10381a2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c6f07e247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db10381a24c5d" /><Relationship Type="http://schemas.openxmlformats.org/officeDocument/2006/relationships/header" Target="/word/header1.xml" Id="R7d2866b9744b460e" /><Relationship Type="http://schemas.openxmlformats.org/officeDocument/2006/relationships/settings" Target="/word/settings.xml" Id="R4479a6c7526249b1" /><Relationship Type="http://schemas.openxmlformats.org/officeDocument/2006/relationships/styles" Target="/word/styles.xml" Id="R556ce0468824444f" /><Relationship Type="http://schemas.openxmlformats.org/officeDocument/2006/relationships/numbering" Target="/word/numbering.xml" Id="Rb288736027a94760" /><Relationship Type="http://schemas.openxmlformats.org/officeDocument/2006/relationships/hyperlink" Target="https://meteor-uat.aihw.gov.au/RegistrationAuthority/14" TargetMode="External" Id="Raaf4a61a4f654edd" /><Relationship Type="http://schemas.openxmlformats.org/officeDocument/2006/relationships/hyperlink" Target="http://www.abs.gov.au/websitedbs/d3310114.nsf/4a256353001af3ed4b2562bb00121564/10ca14cb967e5b83ca2573ae00197b65!OpenDocument" TargetMode="External" Id="R83a0b207fe86454c" /><Relationship Type="http://schemas.openxmlformats.org/officeDocument/2006/relationships/hyperlink" Target="https://meteor-uat.aihw.gov.au/content/555604" TargetMode="External" Id="R62410ca87285409d" /><Relationship Type="http://schemas.openxmlformats.org/officeDocument/2006/relationships/hyperlink" Target="https://meteor-uat.aihw.gov.au/RegistrationAuthority/14" TargetMode="External" Id="Rb95ce3ec0a5c4033" /><Relationship Type="http://schemas.openxmlformats.org/officeDocument/2006/relationships/hyperlink" Target="https://meteor-uat.aihw.gov.au/content/559038" TargetMode="External" Id="Ra9e37b3af5eb4dc8" /><Relationship Type="http://schemas.openxmlformats.org/officeDocument/2006/relationships/hyperlink" Target="https://meteor-uat.aihw.gov.au/RegistrationAuthority/14" TargetMode="External" Id="R116cc08f55f04acb" /></Relationships>
</file>

<file path=word/_rels/header1.xml.rels>&#65279;<?xml version="1.0" encoding="utf-8"?><Relationships xmlns="http://schemas.openxmlformats.org/package/2006/relationships"><Relationship Type="http://schemas.openxmlformats.org/officeDocument/2006/relationships/image" Target="/media/image.png" Id="R2b0c6f07e24740a0" /></Relationships>
</file>