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9a4361480d46d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f3cb86ca444c6">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w:t>
            </w:r>
            <w:r>
              <w:rPr>
                <w:rStyle w:val="row-content-rich-text"/>
              </w:rPr>
              <w:t xml:space="preserve"> bacteraemia (SAB) agreed by all states and territories and used by all states and territories.</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w:t>
            </w:r>
          </w:p>
          <w:p>
            <w:pPr>
              <w:pStyle w:val="ListParagraph"/>
              <w:numPr>
                <w:ilvl w:val="0"/>
                <w:numId w:val="2"/>
              </w:numPr>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pStyle w:val="ListParagraph"/>
              <w:numPr>
                <w:ilvl w:val="0"/>
                <w:numId w:val="2"/>
              </w:numPr>
            </w:pPr>
            <w:r>
              <w:rPr>
                <w:rStyle w:val="row-content-rich-text"/>
              </w:rPr>
              <w:t xml:space="preserve">The data for 2013–14, 2012–13 and 2011–12 are comparable.</w:t>
            </w:r>
          </w:p>
          <w:p>
            <w:pPr>
              <w:pStyle w:val="ListParagraph"/>
              <w:numPr>
                <w:ilvl w:val="0"/>
                <w:numId w:val="2"/>
              </w:numPr>
            </w:pPr>
            <w:r>
              <w:rPr>
                <w:rStyle w:val="row-content-rich-text"/>
              </w:rPr>
              <w:t xml:space="preserve">The data for 2011–12 are comparable with those from 2010–11 except for Queensland.</w:t>
            </w:r>
          </w:p>
          <w:p>
            <w:pPr>
              <w:pStyle w:val="ListParagraph"/>
              <w:numPr>
                <w:ilvl w:val="0"/>
                <w:numId w:val="2"/>
              </w:numPr>
            </w:pPr>
            <w:r>
              <w:rPr>
                <w:rStyle w:val="row-content-rich-text"/>
              </w:rPr>
              <w:t xml:space="preserve">New South Wales data for 2010–11, 2011–12, 2012–13 and 2013–14 are not comparable with other jurisdictions.</w:t>
            </w:r>
          </w:p>
          <w:p>
            <w:pPr>
              <w:pStyle w:val="ListParagraph"/>
              <w:numPr>
                <w:ilvl w:val="0"/>
                <w:numId w:val="2"/>
              </w:numPr>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with revised data provided for 2012–13, 2011–12 and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r>
              <w:rPr>
                <w:rStyle w:val="row-content-rich-text"/>
                <w:i/>
              </w:rPr>
              <w:t xml:space="preserve">Your Health Service</w:t>
            </w:r>
            <w:r>
              <w:rPr>
                <w:rStyle w:val="row-content-rich-text"/>
              </w:rPr>
              <w:t xml:space="preserve"> public website reports SAB by individual hospital.</w:t>
            </w:r>
          </w:p>
          <w:p>
            <w:hyperlink w:history="true" r:id="R6609408c1f234065">
              <w:r>
                <w:rPr>
                  <w:rStyle w:val="Hyperlink"/>
                </w:rPr>
                <w:t xml:space="preserve">http://www.health.nsw.gov.au/hospitals/search.asp</w:t>
              </w:r>
            </w:hyperlink>
            <w:r>
              <w:rPr>
                <w:rStyle w:val="row-content-rich-text"/>
              </w:rPr>
              <w:t xml:space="preserve">   </w:t>
            </w:r>
          </w:p>
          <w:p>
            <w:pPr>
              <w:spacing w:after="160"/>
            </w:pPr>
            <w:r>
              <w:rPr>
                <w:rStyle w:val="row-content-rich-text"/>
              </w:rPr>
              <w:t xml:space="preserve">New South Wales: </w:t>
            </w:r>
            <w:r>
              <w:rPr>
                <w:rStyle w:val="row-content-rich-text"/>
                <w:i/>
              </w:rPr>
              <w:t xml:space="preserve">Healthcare associated infections reporting</w:t>
            </w:r>
            <w:r>
              <w:rPr>
                <w:rStyle w:val="row-content-rich-text"/>
              </w:rPr>
              <w:t xml:space="preserve"> for 8 infection indicators by state.</w:t>
            </w:r>
          </w:p>
          <w:p>
            <w:hyperlink w:history="true" r:id="Re24d3a461188414c">
              <w:r>
                <w:rPr>
                  <w:rStyle w:val="Hyperlink"/>
                </w:rPr>
                <w:t xml:space="preserve">http://www.health.nsw.gov.au/professionals/hai/Documents/</w:t>
              </w:r>
              <w:r>
                <w:br/>
              </w:r>
              <w:r>
                <w:rPr>
                  <w:rStyle w:val="row-content-rich-text"/>
                </w:rPr>
                <w:t xml:space="preserve">HAI-data-collection-report-2014.pdf</w:t>
              </w:r>
            </w:hyperlink>
          </w:p>
          <w:p>
            <w:pPr>
              <w:spacing w:after="160"/>
            </w:pPr>
            <w:r>
              <w:rPr>
                <w:rStyle w:val="row-content-rich-text"/>
              </w:rPr>
              <w:t xml:space="preserve">Queensland: Queensland Health Hospital Performance website:</w:t>
            </w:r>
          </w:p>
          <w:p>
            <w:hyperlink w:history="true" r:id="Ree54189795b64804">
              <w:r>
                <w:rPr>
                  <w:rStyle w:val="Hyperlink"/>
                </w:rPr>
                <w:t xml:space="preserve">http://www.health.qld.gov.au/performance/default.asp</w:t>
              </w:r>
            </w:hyperlink>
          </w:p>
          <w:p>
            <w:pPr>
              <w:spacing w:after="160"/>
            </w:pPr>
            <w:r>
              <w:rPr>
                <w:rStyle w:val="row-content-rich-text"/>
              </w:rPr>
              <w:t xml:space="preserve">Western Australia: </w:t>
            </w:r>
            <w:r>
              <w:rPr>
                <w:rStyle w:val="row-content-rich-text"/>
                <w:i/>
              </w:rPr>
              <w:t xml:space="preserve">Healthcare Associated Infection Unit - Annual Report and aggregate reports</w:t>
            </w:r>
            <w:r>
              <w:rPr>
                <w:rStyle w:val="row-content-rich-text"/>
              </w:rPr>
              <w:t xml:space="preserve">.</w:t>
            </w:r>
          </w:p>
          <w:p>
            <w:hyperlink w:history="true" r:id="R6d060a2468ac48c2">
              <w:r>
                <w:rPr>
                  <w:rStyle w:val="Hyperlink"/>
                </w:rPr>
                <w:t xml:space="preserve">http://www.public.health.wa.gov.au/3/455/3/</w:t>
              </w:r>
              <w:r>
                <w:br/>
              </w:r>
              <w:r>
                <w:rPr>
                  <w:rStyle w:val="row-content-rich-text"/>
                </w:rPr>
                <w:t xml:space="preserve">reports__healthcare_associated_infection_unit.pm</w:t>
              </w:r>
            </w:hyperlink>
            <w:r>
              <w:rPr>
                <w:rStyle w:val="row-content-rich-text"/>
              </w:rPr>
              <w:t xml:space="preserve">   </w:t>
            </w:r>
          </w:p>
          <w:p>
            <w:pPr>
              <w:spacing w:after="160"/>
            </w:pPr>
            <w:r>
              <w:rPr>
                <w:rStyle w:val="row-content-rich-text"/>
              </w:rPr>
              <w:t xml:space="preserve">South Australia: </w:t>
            </w:r>
            <w:r>
              <w:rPr>
                <w:rStyle w:val="row-content-rich-text"/>
                <w:i/>
              </w:rPr>
              <w:t xml:space="preserve">Healthcare Associated Bloodstream Infection Report</w:t>
            </w:r>
            <w:r>
              <w:rPr>
                <w:rStyle w:val="row-content-rich-text"/>
              </w:rPr>
              <w:t xml:space="preserve">.</w:t>
            </w:r>
          </w:p>
          <w:p>
            <w:hyperlink w:history="true" r:id="R804011be36464c32">
              <w:r>
                <w:rPr>
                  <w:rStyle w:val="Hyperlink"/>
                </w:rPr>
                <w:t xml:space="preserve">http://www.sahealth.sa.gov.au/wps/wcm/connect/public+content/</w:t>
              </w:r>
              <w:r>
                <w:br/>
              </w:r>
              <w:r>
                <w:rPr>
                  <w:rStyle w:val="row-content-rich-text"/>
                </w:rPr>
                <w:t xml:space="preserve">sa+health+internet/about+us/health+statistics/</w:t>
              </w:r>
              <w:r>
                <w:br/>
              </w:r>
              <w:r>
                <w:rPr>
                  <w:rStyle w:val="row-content-rich-text"/>
                </w:rPr>
                <w:t xml:space="preserve">healthcare+infection+statistics/healthcare+infection+statistics?</w:t>
              </w:r>
              <w:r>
                <w:br/>
              </w:r>
              <w:r>
                <w:rPr>
                  <w:rStyle w:val="row-content-rich-text"/>
                </w:rPr>
                <w:t xml:space="preserve">contentIDR=bef94b0042d707bfa38ca3693c255719&amp;</w:t>
              </w:r>
              <w:r>
                <w:br/>
              </w:r>
              <w:r>
                <w:rPr>
                  <w:rStyle w:val="row-content-rich-text"/>
                </w:rPr>
                <w:t xml:space="preserve">amp;useDefaultText=0&amp;useDefaultDesc=1</w:t>
              </w:r>
            </w:hyperlink>
          </w:p>
          <w:p>
            <w:pPr>
              <w:spacing w:after="160"/>
            </w:pPr>
            <w:r>
              <w:rPr>
                <w:rStyle w:val="row-content-rich-text"/>
              </w:rPr>
              <w:t xml:space="preserve">Tasmania: Acute public hospitals healthcare associated infection surveillance report.</w:t>
            </w:r>
          </w:p>
          <w:p>
            <w:hyperlink w:history="true" r:id="Ra31902cbedd142b6">
              <w:r>
                <w:rPr>
                  <w:rStyle w:val="Hyperlink"/>
                </w:rPr>
                <w:t xml:space="preserve">http://www.dhhs.tas.gov.au/peh/tasmanian_infection_prevention_and_control_unit/</w:t>
              </w:r>
              <w:r>
                <w:br/>
              </w:r>
              <w:r>
                <w:rPr>
                  <w:rStyle w:val="row-content-rich-text"/>
                </w:rPr>
                <w:t xml:space="preserve">publications_and_guidelines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2012, the scope of the indicator was revised to include unqualified newborns. Data reported for 2010–11 and subsequent years include unqualified newborns.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The data presented have not been adjusted for any differences in case-mix between the states and territories.</w:t>
            </w:r>
          </w:p>
          <w:p>
            <w:pPr>
              <w:spacing w:after="160"/>
            </w:pPr>
            <w:r>
              <w:rPr>
                <w:rStyle w:val="row-content-rich-text"/>
              </w:rPr>
              <w:t xml:space="preserve">Analysis by state/territory is based on the location of the hospital.</w:t>
            </w:r>
          </w:p>
          <w:p>
            <w:pPr/>
            <w:r>
              <w:rPr>
                <w:rStyle w:val="row-content-rich-text"/>
              </w:rPr>
              <w:t xml:space="preserve">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Patient days are used rather than occupied bed days because occupied bed day data were not available for all states and territories and there is no nationally agreed definition for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and subsequent years, all states and territories used the definition of SAB patient episodes associated with acute care public hospitals as defined above. </w:t>
            </w:r>
          </w:p>
          <w:p>
            <w:pPr>
              <w:spacing w:after="160"/>
            </w:pPr>
            <w:r>
              <w:rPr>
                <w:rStyle w:val="row-content-rich-text"/>
              </w:rPr>
              <w:t xml:space="preserve">The patient day data may be preliminary for some hospitals/jurisdictions.</w:t>
            </w:r>
          </w:p>
          <w:p>
            <w:pPr>
              <w:spacing w:after="160"/>
            </w:pPr>
            <w:r>
              <w:rPr>
                <w:rStyle w:val="row-content-rich-text"/>
              </w:rPr>
              <w:t xml:space="preserve">New South Wales does not provide patient day data, but rather occupied bed days.  There may be some difference between patient days and occupied bed days.</w:t>
            </w:r>
          </w:p>
          <w:p>
            <w:pPr/>
            <w:r>
              <w:rPr>
                <w:rStyle w:val="row-content-rich-text"/>
              </w:rPr>
              <w:t xml:space="preserve">Some states and territories have provided revised data for 2012–13, 2011–12 and 2010–11, thus revised tables for these years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The most recent work in 2012 was to revise the scope of the indicator to include unqualified newborns. Data reported for 2010–11 and subsequent years include unqualified newborns.  It is not possible to backcast the data for earlier years. Data for 2013–14, 2012–13, 2011–12 and 2010–11 are therefore not comparable with data for previous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w:t>
            </w:r>
          </w:p>
          <w:p>
            <w:pPr>
              <w:spacing w:after="160"/>
            </w:pPr>
            <w:r>
              <w:rPr>
                <w:rStyle w:val="row-content-rich-text"/>
              </w:rPr>
              <w:t xml:space="preserve">Data for 2011–12, 2012–13 and 2013–14 are comparable.</w:t>
            </w:r>
          </w:p>
          <w:p>
            <w:pPr>
              <w:spacing w:after="160"/>
            </w:pPr>
            <w:r>
              <w:rPr>
                <w:rStyle w:val="row-content-rich-text"/>
              </w:rPr>
              <w:t xml:space="preserve">New South Wales data for 2010–11, 2011–12, 2012–13 and 2013–14 are not comparable with data from other jurisdictions because New South Wales uses occupied bed days, rather than patient days, for calculation of the denominator.</w:t>
            </w:r>
          </w:p>
          <w:p>
            <w:pPr>
              <w:spacing w:after="160"/>
            </w:pPr>
            <w:r>
              <w:rPr>
                <w:rStyle w:val="row-content-rich-text"/>
              </w:rPr>
              <w:t xml:space="preserve">New South Wales data are included in Australian totals for 2010–11, 2011–12, 2012–13 and 2013–14 because it is expected that at the national level the use of occupied bed days, rather than patient days, for NSW is unlikely to create a marked difference in the Australian data.</w:t>
            </w:r>
          </w:p>
          <w:p>
            <w:pPr>
              <w:spacing w:after="160"/>
            </w:pPr>
            <w:r>
              <w:rPr>
                <w:rStyle w:val="row-content-rich-text"/>
              </w:rPr>
              <w:t xml:space="preserve">As 2008–09 data were provided prior to the development of agreed national definitions, by only five jurisdictions, and was limited to principal referral and large hospitals, these data are not comparable with 2009–10 data, except for Tasmania.</w:t>
            </w:r>
          </w:p>
          <w:p>
            <w:pPr/>
            <w:r>
              <w:rPr>
                <w:rStyle w:val="row-content-rich-text"/>
              </w:rPr>
              <w:t xml:space="preserve">Some jurisdictions have previously published related data (see Accessibility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3bfab056764a4b">
              <w:r>
                <w:rPr>
                  <w:rStyle w:val="Hyperlink"/>
                </w:rPr>
                <w:t xml:space="preserve">National Healthcare Agreement: PI 22-Healthcare associated infections, 2014 QS</w:t>
              </w:r>
            </w:hyperlink>
          </w:p>
          <w:p>
            <w:pPr>
              <w:pStyle w:val="registration-status"/>
              <w:spacing w:before="0" w:after="0"/>
            </w:pPr>
            <w:hyperlink w:history="true" r:id="Ref3ce6dd290b454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e69e246ab654da2">
              <w:r>
                <w:rPr>
                  <w:rStyle w:val="Hyperlink"/>
                </w:rPr>
                <w:t xml:space="preserve">National Healthcare Agreement: PI 22-Healthcare associated infections; Staphylococcus aureus bacteraemia, 2016 QS</w:t>
              </w:r>
            </w:hyperlink>
          </w:p>
          <w:p>
            <w:pPr>
              <w:pStyle w:val="registration-status"/>
              <w:spacing w:before="0" w:after="0"/>
            </w:pPr>
            <w:hyperlink w:history="true" r:id="R54010a766ebc440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9e8dc94efa840f3">
              <w:r>
                <w:rPr>
                  <w:rStyle w:val="Hyperlink"/>
                </w:rPr>
                <w:t xml:space="preserve">National Healthcare Agreement: PI 22-Healthcare associated infections, 2015</w:t>
              </w:r>
            </w:hyperlink>
          </w:p>
          <w:p>
            <w:pPr>
              <w:pStyle w:val="registration-status"/>
              <w:spacing w:before="0" w:after="0"/>
            </w:pPr>
            <w:hyperlink w:history="true" r:id="Raac0c195aa1640ac">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29a97f28c06b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5d9ac5169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97f28c06b4899" /><Relationship Type="http://schemas.openxmlformats.org/officeDocument/2006/relationships/header" Target="/word/header1.xml" Id="R599a0b7eaaf54cc4" /><Relationship Type="http://schemas.openxmlformats.org/officeDocument/2006/relationships/settings" Target="/word/settings.xml" Id="R8ffd2356f51543d9" /><Relationship Type="http://schemas.openxmlformats.org/officeDocument/2006/relationships/styles" Target="/word/styles.xml" Id="R3b19e29e9de04223" /><Relationship Type="http://schemas.openxmlformats.org/officeDocument/2006/relationships/numbering" Target="/word/numbering.xml" Id="R72b9afa4569c4e41" /><Relationship Type="http://schemas.openxmlformats.org/officeDocument/2006/relationships/hyperlink" Target="https://meteor-uat.aihw.gov.au/RegistrationAuthority/14" TargetMode="External" Id="Re2ef3cb86ca444c6" /><Relationship Type="http://schemas.openxmlformats.org/officeDocument/2006/relationships/hyperlink" Target="http://www.health.nsw.gov.au/hospitals/search.asp" TargetMode="External" Id="R6609408c1f234065" /><Relationship Type="http://schemas.openxmlformats.org/officeDocument/2006/relationships/hyperlink" Target="http://www.health.nsw.gov.au/professionals/hai/Documents/HAI-data-collection-report-2014.pdf" TargetMode="External" Id="Re24d3a461188414c" /><Relationship Type="http://schemas.openxmlformats.org/officeDocument/2006/relationships/hyperlink" Target="http://www.health.qld.gov.au/performance/default.asp" TargetMode="External" Id="Ree54189795b64804" /><Relationship Type="http://schemas.openxmlformats.org/officeDocument/2006/relationships/hyperlink" Target="http://www.public.health.wa.gov.au/3/455/3/reports__healthcare_associated_infection_unit.pm" TargetMode="External" Id="R6d060a2468ac48c2" /><Relationship Type="http://schemas.openxmlformats.org/officeDocument/2006/relationships/hyperlink" Target="http://www.sahealth.sa.gov.au/wps/wcm/connect/public+content/sa+health+internet/about+us/health+statistics/healthcare+infection+statistics/healthcare+infection+statistics?contentIDR=bef94b0042d707bfa38ca3693c255719&amp;useDefaultText=0&amp;useDefaultDesc=1" TargetMode="External" Id="R804011be36464c32" /><Relationship Type="http://schemas.openxmlformats.org/officeDocument/2006/relationships/hyperlink" Target="http://www.dhhs.tas.gov.au/peh/tasmanian_infection_prevention_and_control_unit/publications_and_guidelines" TargetMode="External" Id="Ra31902cbedd142b6" /><Relationship Type="http://schemas.openxmlformats.org/officeDocument/2006/relationships/hyperlink" Target="https://meteor-uat.aihw.gov.au/content/517728" TargetMode="External" Id="R0b3bfab056764a4b" /><Relationship Type="http://schemas.openxmlformats.org/officeDocument/2006/relationships/hyperlink" Target="https://meteor-uat.aihw.gov.au/RegistrationAuthority/14" TargetMode="External" Id="Ref3ce6dd290b454e" /><Relationship Type="http://schemas.openxmlformats.org/officeDocument/2006/relationships/hyperlink" Target="https://meteor-uat.aihw.gov.au/content/600108" TargetMode="External" Id="R8e69e246ab654da2" /><Relationship Type="http://schemas.openxmlformats.org/officeDocument/2006/relationships/hyperlink" Target="https://meteor-uat.aihw.gov.au/RegistrationAuthority/14" TargetMode="External" Id="R54010a766ebc440f" /><Relationship Type="http://schemas.openxmlformats.org/officeDocument/2006/relationships/hyperlink" Target="https://meteor-uat.aihw.gov.au/content/559022" TargetMode="External" Id="R19e8dc94efa840f3" /><Relationship Type="http://schemas.openxmlformats.org/officeDocument/2006/relationships/hyperlink" Target="https://meteor-uat.aihw.gov.au/RegistrationAuthority/14" TargetMode="External" Id="Raac0c195aa1640ac" /></Relationships>
</file>

<file path=word/_rels/header1.xml.rels>&#65279;<?xml version="1.0" encoding="utf-8"?><Relationships xmlns="http://schemas.openxmlformats.org/package/2006/relationships"><Relationship Type="http://schemas.openxmlformats.org/officeDocument/2006/relationships/image" Target="/media/image.png" Id="R8005d9ac51694b30" /></Relationships>
</file>