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a8bbe3eb19485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received their surgery within clinically recommended times,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received their surgery within clinically recommended times,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3dbbdeef4449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ef5b08511649c1">
              <w:r>
                <w:rPr>
                  <w:rStyle w:val="Hyperlink"/>
                </w:rPr>
                <w:t xml:space="preserve">National Health Performance Authority: Hospital performance: 2011-16</w:t>
              </w:r>
            </w:hyperlink>
          </w:p>
          <w:p>
            <w:pPr>
              <w:pStyle w:val="registration-status"/>
              <w:spacing w:before="0" w:after="0"/>
            </w:pPr>
            <w:hyperlink w:history="true" r:id="R8fbbc17467c64e4e">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surgery within the clinically recommended time. </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recorded when they were removed from the list.</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If one or more quarter is suppressed then the next smallest quarter will be suppressed; annual totals are reported including all suppressed values.  </w:t>
            </w:r>
          </w:p>
          <w:p>
            <w:pPr>
              <w:spacing w:after="160"/>
            </w:pPr>
            <w:r>
              <w:rPr>
                <w:rStyle w:val="row-content-rich-text"/>
              </w:rPr>
              <w:t xml:space="preserve"> </w:t>
            </w:r>
          </w:p>
          <w:p>
            <w:pPr>
              <w:spacing w:after="160"/>
            </w:pPr>
            <w:r>
              <w:rPr>
                <w:rStyle w:val="row-content-rich-text"/>
              </w:rPr>
              <w:t xml:space="preserve">Annual data are sourced from </w:t>
            </w:r>
            <w:hyperlink w:history="true" r:id="R386896ee73cb40f2">
              <w:r>
                <w:rPr>
                  <w:rStyle w:val="Hyperlink"/>
                </w:rPr>
                <w:t xml:space="preserve">National Elective Surgery Waiting Time Data Collection</w:t>
              </w:r>
            </w:hyperlink>
            <w:r>
              <w:rPr>
                <w:rStyle w:val="row-content-rich-text"/>
              </w:rPr>
              <w:t xml:space="preserve"> and quarterly data from </w:t>
            </w:r>
            <w:hyperlink w:history="true" r:id="Re795b3e48dfa4546">
              <w:r>
                <w:rPr>
                  <w:rStyle w:val="Hyperlink"/>
                </w:rPr>
                <w:t xml:space="preserve">National Elective Surgery Target Data Collection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e8993e093547fb">
              <w:r>
                <w:rPr>
                  <w:rStyle w:val="Hyperlink"/>
                </w:rPr>
                <w:t xml:space="preserve">Elective surgery waiting list episode—reason for removal from a waiting list, code N</w:t>
              </w:r>
            </w:hyperlink>
          </w:p>
          <w:p>
            <w:r>
              <w:rPr>
                <w:rStyle w:val="row-content"/>
                <w:b/>
              </w:rPr>
              <w:t xml:space="preserve">Data Source</w:t>
            </w:r>
          </w:p>
          <w:p>
            <w:hyperlink w:history="true" r:id="Rbe085457433c43d8">
              <w:r>
                <w:rPr>
                  <w:rStyle w:val="Hyperlink"/>
                </w:rPr>
                <w:t xml:space="preserve">National Elective Surgery Waiting Times Data Collection</w:t>
              </w:r>
            </w:hyperlink>
          </w:p>
          <w:p>
            <w:r>
              <w:rPr>
                <w:rStyle w:val="row-content"/>
                <w:b/>
              </w:rPr>
              <w:t xml:space="preserve">NMDS / DSS</w:t>
            </w:r>
          </w:p>
          <w:p>
            <w:hyperlink w:history="true" r:id="Rd50adcb4edb740cd">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2cd5f6bae7e04ade">
              <w:r>
                <w:rPr>
                  <w:rStyle w:val="Hyperlink"/>
                </w:rPr>
                <w:t xml:space="preserve">Elective surgery waiting list episode—waiting time (at removal), total days N[NNN]</w:t>
              </w:r>
            </w:hyperlink>
          </w:p>
          <w:p>
            <w:r>
              <w:rPr>
                <w:rStyle w:val="row-content"/>
                <w:b/>
              </w:rPr>
              <w:t xml:space="preserve">Data Source</w:t>
            </w:r>
          </w:p>
          <w:p>
            <w:hyperlink w:history="true" r:id="R9cf5418ae5594dab">
              <w:r>
                <w:rPr>
                  <w:rStyle w:val="Hyperlink"/>
                </w:rPr>
                <w:t xml:space="preserve">National Elective Surgery Waiting Times Data Collection</w:t>
              </w:r>
            </w:hyperlink>
          </w:p>
          <w:p>
            <w:r>
              <w:rPr>
                <w:rStyle w:val="row-content"/>
                <w:b/>
              </w:rPr>
              <w:t xml:space="preserve">NMDS / DSS</w:t>
            </w:r>
          </w:p>
          <w:p>
            <w:hyperlink w:history="true" r:id="R7930c52070ed4756">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4289401cd54e1c">
              <w:r>
                <w:rPr>
                  <w:rStyle w:val="Hyperlink"/>
                </w:rPr>
                <w:t xml:space="preserve">Elective surgery waiting list episode—reason for removal from a waiting list, code N</w:t>
              </w:r>
            </w:hyperlink>
          </w:p>
          <w:p>
            <w:r>
              <w:rPr>
                <w:rStyle w:val="row-content"/>
                <w:b/>
              </w:rPr>
              <w:t xml:space="preserve">Data Source</w:t>
            </w:r>
          </w:p>
          <w:p>
            <w:hyperlink w:history="true" r:id="Rd9f17a424cff4baf">
              <w:r>
                <w:rPr>
                  <w:rStyle w:val="Hyperlink"/>
                </w:rPr>
                <w:t xml:space="preserve">National Elective Surgery Waiting Times Data Collection</w:t>
              </w:r>
            </w:hyperlink>
          </w:p>
          <w:p>
            <w:r>
              <w:rPr>
                <w:rStyle w:val="row-content"/>
                <w:b/>
              </w:rPr>
              <w:t xml:space="preserve">NMDS / DSS</w:t>
            </w:r>
          </w:p>
          <w:p>
            <w:hyperlink w:history="true" r:id="R63e01a8322d94da9">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w:t>
            </w:r>
            <w:r>
              <w:rPr>
                <w:rStyle w:val="row-content-rich-text"/>
              </w:rPr>
              <w:t xml:space="preserve">ective surgery </w:t>
            </w:r>
            <w:hyperlink w:tooltip="A clinical assessment of the urgency with which a patient requires elective hospital care." w:history="true" r:id="Rca68db9649f74c1b">
              <w:r>
                <w:rPr>
                  <w:rStyle w:val="Hyperlink"/>
                  <w:b/>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4a083201bb4eae">
              <w:r>
                <w:rPr>
                  <w:rStyle w:val="Hyperlink"/>
                </w:rPr>
                <w:t xml:space="preserve">Establishment—organisation identifier (Australian), NNX[X]NNNNN</w:t>
              </w:r>
            </w:hyperlink>
          </w:p>
          <w:p>
            <w:r>
              <w:rPr>
                <w:rStyle w:val="row-content"/>
                <w:b/>
              </w:rPr>
              <w:t xml:space="preserve">Data Source</w:t>
            </w:r>
          </w:p>
          <w:p>
            <w:hyperlink w:history="true" r:id="R41c4232b18214ecc">
              <w:r>
                <w:rPr>
                  <w:rStyle w:val="Hyperlink"/>
                </w:rPr>
                <w:t xml:space="preserve">National Elective Surgery Waiting Times Data Collection</w:t>
              </w:r>
            </w:hyperlink>
          </w:p>
          <w:p>
            <w:r>
              <w:rPr>
                <w:rStyle w:val="row-content"/>
                <w:b/>
              </w:rPr>
              <w:t xml:space="preserve">NMDS / DSS</w:t>
            </w:r>
          </w:p>
          <w:p>
            <w:hyperlink w:history="true" r:id="R57c33f523bc148da">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108afb3aa33044ef">
              <w:r>
                <w:rPr>
                  <w:rStyle w:val="Hyperlink"/>
                </w:rPr>
                <w:t xml:space="preserve">Elective surgery waiting list episode—clinical urgency, code N</w:t>
              </w:r>
            </w:hyperlink>
          </w:p>
          <w:p>
            <w:r>
              <w:rPr>
                <w:rStyle w:val="row-content"/>
                <w:b/>
              </w:rPr>
              <w:t xml:space="preserve">Data Source</w:t>
            </w:r>
          </w:p>
          <w:p>
            <w:hyperlink w:history="true" r:id="R5d8b481388764c67">
              <w:r>
                <w:rPr>
                  <w:rStyle w:val="Hyperlink"/>
                </w:rPr>
                <w:t xml:space="preserve">National Elective Surgery Waiting Times Data Collection</w:t>
              </w:r>
            </w:hyperlink>
          </w:p>
          <w:p>
            <w:r>
              <w:rPr>
                <w:rStyle w:val="row-content"/>
                <w:b/>
              </w:rPr>
              <w:t xml:space="preserve">NMDS / DSS</w:t>
            </w:r>
          </w:p>
          <w:p>
            <w:hyperlink w:history="true" r:id="R5a4d1fab08a54c3d">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Target commenced in January 2012 with the requirement that 100% of all patients in all urgency categories will receive their surgery within clinically recommended times by 2015 for NSW, VIC, QLD, WA, and SA and by 2016 for TAS, ACT and NT. Each state and territory has a different starting point for each urgency category and, accordingly, a different target for each category for December of each year leading up to 2015 (or 2016). These targets are shown in the Table below.</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250" w:type="pct"/>
                  <w:vAlign w:val="top"/>
                </w:tcPr>
                <w:p>
                  <w:pPr/>
                  <w:r>
                    <w:rPr>
                      <w:rStyle w:val="row-content-rich-text"/>
                    </w:rPr>
                    <w:t xml:space="preserve"> </w:t>
                  </w:r>
                  <w:r>
                    <w:rPr>
                      <w:rStyle w:val="row-content-rich-text"/>
                    </w:rPr>
                    <w:t xml:space="preserve"> </w:t>
                  </w:r>
                </w:p>
              </w:tc>
              <w:tc>
                <w:tcPr>
                  <w:tcW w:w="300" w:type="pct"/>
                  <w:vAlign w:val="top"/>
                </w:tcPr>
                <w:p>
                  <w:r>
                    <w:t xml:space="preserve">NSW</w:t>
                  </w:r>
                </w:p>
              </w:tc>
              <w:tc>
                <w:tcPr>
                  <w:tcW w:w="300" w:type="pct"/>
                  <w:vAlign w:val="top"/>
                </w:tcPr>
                <w:p>
                  <w:r>
                    <w:t xml:space="preserve">VIC</w:t>
                  </w:r>
                </w:p>
              </w:tc>
              <w:tc>
                <w:tcPr>
                  <w:tcW w:w="300" w:type="pct"/>
                  <w:vAlign w:val="top"/>
                </w:tcPr>
                <w:p>
                  <w:r>
                    <w:t xml:space="preserve">QLD</w:t>
                  </w:r>
                </w:p>
              </w:tc>
              <w:tc>
                <w:tcPr>
                  <w:tcW w:w="300" w:type="pct"/>
                  <w:vAlign w:val="top"/>
                </w:tcPr>
                <w:p>
                  <w:r>
                    <w:t xml:space="preserve">WA</w:t>
                  </w:r>
                </w:p>
              </w:tc>
              <w:tc>
                <w:tcPr>
                  <w:tcW w:w="300" w:type="pct"/>
                  <w:vAlign w:val="top"/>
                </w:tcPr>
                <w:p>
                  <w:r>
                    <w:t xml:space="preserve">SA</w:t>
                  </w:r>
                </w:p>
              </w:tc>
              <w:tc>
                <w:tcPr>
                  <w:tcW w:w="350" w:type="pct"/>
                  <w:vAlign w:val="top"/>
                </w:tcPr>
                <w:p>
                  <w:r>
                    <w:t xml:space="preserve">TAS</w:t>
                  </w:r>
                </w:p>
              </w:tc>
              <w:tc>
                <w:tcPr>
                  <w:tcW w:w="350" w:type="pct"/>
                  <w:vAlign w:val="top"/>
                </w:tcPr>
                <w:p>
                  <w:r>
                    <w:t xml:space="preserve">ACT</w:t>
                  </w:r>
                </w:p>
              </w:tc>
              <w:tc>
                <w:tcPr>
                  <w:tcW w:w="350" w:type="pct"/>
                  <w:vAlign w:val="top"/>
                </w:tcPr>
                <w:p>
                  <w:r>
                    <w:t xml:space="preserve">NT</w:t>
                  </w:r>
                </w:p>
              </w:tc>
            </w:tr>
            <w:tr>
              <w:trPr/>
              <w:tc>
                <w:tcPr>
                  <w:tcW w:w="2250" w:type="pct"/>
                  <w:gridSpan w:val="9"/>
                  <w:vAlign w:val="top"/>
                </w:tcPr>
                <w:p>
                  <w:r>
                    <w:t xml:space="preserve">URGENCY CATEGORY 1 (%)</w:t>
                  </w:r>
                </w:p>
              </w:tc>
            </w:tr>
            <w:tr>
              <w:trPr/>
              <w:tc>
                <w:tcPr>
                  <w:tcW w:w="2250" w:type="pct"/>
                  <w:vAlign w:val="top"/>
                </w:tcPr>
                <w:p>
                  <w:r>
                    <w:t xml:space="preserve"> Target period</w:t>
                  </w:r>
                </w:p>
              </w:tc>
              <w:tc>
                <w:tcPr>
                  <w:tcW w:w="300" w:type="pct"/>
                  <w:vAlign w:val="top"/>
                </w:tcPr>
                <w:p>
                  <w:r>
                    <w:t xml:space="preserve">92.3</w:t>
                  </w:r>
                </w:p>
              </w:tc>
              <w:tc>
                <w:tcPr>
                  <w:tcW w:w="300" w:type="pct"/>
                  <w:vAlign w:val="top"/>
                </w:tcPr>
                <w:p>
                  <w:r>
                    <w:t xml:space="preserve">100.0</w:t>
                  </w:r>
                </w:p>
              </w:tc>
              <w:tc>
                <w:tcPr>
                  <w:tcW w:w="300" w:type="pct"/>
                  <w:vAlign w:val="top"/>
                </w:tcPr>
                <w:p>
                  <w:r>
                    <w:t xml:space="preserve">83.0</w:t>
                  </w:r>
                </w:p>
              </w:tc>
              <w:tc>
                <w:tcPr>
                  <w:tcW w:w="300" w:type="pct"/>
                  <w:vAlign w:val="top"/>
                </w:tcPr>
                <w:p>
                  <w:r>
                    <w:t xml:space="preserve">87.4</w:t>
                  </w:r>
                </w:p>
              </w:tc>
              <w:tc>
                <w:tcPr>
                  <w:tcW w:w="300" w:type="pct"/>
                  <w:vAlign w:val="top"/>
                </w:tcPr>
                <w:p>
                  <w:r>
                    <w:t xml:space="preserve">87.5</w:t>
                  </w:r>
                </w:p>
              </w:tc>
              <w:tc>
                <w:tcPr>
                  <w:tcW w:w="350" w:type="pct"/>
                  <w:vAlign w:val="top"/>
                </w:tcPr>
                <w:p>
                  <w:r>
                    <w:t xml:space="preserve">75.4</w:t>
                  </w:r>
                </w:p>
              </w:tc>
              <w:tc>
                <w:tcPr>
                  <w:tcW w:w="350" w:type="pct"/>
                  <w:vAlign w:val="top"/>
                </w:tcPr>
                <w:p>
                  <w:r>
                    <w:t xml:space="preserve">91.8</w:t>
                  </w:r>
                </w:p>
              </w:tc>
              <w:tc>
                <w:tcPr>
                  <w:tcW w:w="350" w:type="pct"/>
                  <w:vAlign w:val="top"/>
                </w:tcPr>
                <w:p>
                  <w:r>
                    <w:t xml:space="preserve">79.1</w:t>
                  </w:r>
                </w:p>
              </w:tc>
            </w:tr>
            <w:tr>
              <w:trPr/>
              <w:tc>
                <w:tcPr>
                  <w:tcW w:w="2250" w:type="pct"/>
                  <w:vAlign w:val="top"/>
                </w:tcPr>
                <w:p>
                  <w:r>
                    <w:t xml:space="preserve"> 1 Jan 2012 to 31 Dec 2012  </w:t>
                  </w:r>
                </w:p>
              </w:tc>
              <w:tc>
                <w:tcPr>
                  <w:tcW w:w="300" w:type="pct"/>
                  <w:vAlign w:val="top"/>
                </w:tcPr>
                <w:p>
                  <w:r>
                    <w:t xml:space="preserve">96.0</w:t>
                  </w:r>
                </w:p>
              </w:tc>
              <w:tc>
                <w:tcPr>
                  <w:tcW w:w="300" w:type="pct"/>
                  <w:vAlign w:val="top"/>
                </w:tcPr>
                <w:p>
                  <w:r>
                    <w:t xml:space="preserve">100.0</w:t>
                  </w:r>
                </w:p>
              </w:tc>
              <w:tc>
                <w:tcPr>
                  <w:tcW w:w="300" w:type="pct"/>
                  <w:vAlign w:val="top"/>
                </w:tcPr>
                <w:p>
                  <w:r>
                    <w:t xml:space="preserve">89.0</w:t>
                  </w:r>
                </w:p>
              </w:tc>
              <w:tc>
                <w:tcPr>
                  <w:tcW w:w="300" w:type="pct"/>
                  <w:vAlign w:val="top"/>
                </w:tcPr>
                <w:p>
                  <w:r>
                    <w:t xml:space="preserve">94.0</w:t>
                  </w:r>
                </w:p>
              </w:tc>
              <w:tc>
                <w:tcPr>
                  <w:tcW w:w="300" w:type="pct"/>
                  <w:vAlign w:val="top"/>
                </w:tcPr>
                <w:p>
                  <w:r>
                    <w:t xml:space="preserve">94.0</w:t>
                  </w:r>
                </w:p>
              </w:tc>
              <w:tc>
                <w:tcPr>
                  <w:tcW w:w="350" w:type="pct"/>
                  <w:vAlign w:val="top"/>
                </w:tcPr>
                <w:p>
                  <w:r>
                    <w:t xml:space="preserve">84.0</w:t>
                  </w:r>
                </w:p>
              </w:tc>
              <w:tc>
                <w:tcPr>
                  <w:tcW w:w="350" w:type="pct"/>
                  <w:vAlign w:val="top"/>
                </w:tcPr>
                <w:p>
                  <w:r>
                    <w:t xml:space="preserve">95.0</w:t>
                  </w:r>
                </w:p>
              </w:tc>
              <w:tc>
                <w:tcPr>
                  <w:tcW w:w="350" w:type="pct"/>
                  <w:vAlign w:val="top"/>
                </w:tcPr>
                <w:p>
                  <w:r>
                    <w:t xml:space="preserve">83.0</w:t>
                  </w:r>
                </w:p>
              </w:tc>
            </w:tr>
            <w:tr>
              <w:trPr/>
              <w:tc>
                <w:tcPr>
                  <w:tcW w:w="2250" w:type="pct"/>
                  <w:vAlign w:val="top"/>
                </w:tcPr>
                <w:p>
                  <w:r>
                    <w:t xml:space="preserve"> 1 Jan 2013 to 31 Dec 2013 </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97.0</w:t>
                  </w:r>
                </w:p>
              </w:tc>
              <w:tc>
                <w:tcPr>
                  <w:tcW w:w="350" w:type="pct"/>
                  <w:vAlign w:val="top"/>
                </w:tcPr>
                <w:p>
                  <w:r>
                    <w:t xml:space="preserve">90.0</w:t>
                  </w:r>
                </w:p>
              </w:tc>
            </w:tr>
            <w:tr>
              <w:trPr/>
              <w:tc>
                <w:tcPr>
                  <w:tcW w:w="2250" w:type="pct"/>
                  <w:vAlign w:val="top"/>
                </w:tcPr>
                <w:p>
                  <w:r>
                    <w:t xml:space="preserve"> 1 Jan 2014 to 31 Dec 2014</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2 (%)</w:t>
                  </w:r>
                </w:p>
              </w:tc>
            </w:tr>
            <w:tr>
              <w:trPr/>
              <w:tc>
                <w:tcPr>
                  <w:tcW w:w="2250" w:type="pct"/>
                  <w:vAlign w:val="top"/>
                </w:tcPr>
                <w:p>
                  <w:r>
                    <w:t xml:space="preserve"> Baseline</w:t>
                  </w:r>
                </w:p>
              </w:tc>
              <w:tc>
                <w:tcPr>
                  <w:tcW w:w="300" w:type="pct"/>
                  <w:vAlign w:val="top"/>
                </w:tcPr>
                <w:p>
                  <w:r>
                    <w:t xml:space="preserve">86.6</w:t>
                  </w:r>
                </w:p>
              </w:tc>
              <w:tc>
                <w:tcPr>
                  <w:tcW w:w="300" w:type="pct"/>
                  <w:vAlign w:val="top"/>
                </w:tcPr>
                <w:p>
                  <w:r>
                    <w:t xml:space="preserve">72.5</w:t>
                  </w:r>
                </w:p>
              </w:tc>
              <w:tc>
                <w:tcPr>
                  <w:tcW w:w="300" w:type="pct"/>
                  <w:vAlign w:val="top"/>
                </w:tcPr>
                <w:p>
                  <w:r>
                    <w:t xml:space="preserve">74.8</w:t>
                  </w:r>
                </w:p>
              </w:tc>
              <w:tc>
                <w:tcPr>
                  <w:tcW w:w="300" w:type="pct"/>
                  <w:vAlign w:val="top"/>
                </w:tcPr>
                <w:p>
                  <w:r>
                    <w:t xml:space="preserve">79.2</w:t>
                  </w:r>
                </w:p>
              </w:tc>
              <w:tc>
                <w:tcPr>
                  <w:tcW w:w="300" w:type="pct"/>
                  <w:vAlign w:val="top"/>
                </w:tcPr>
                <w:p>
                  <w:r>
                    <w:t xml:space="preserve">87.6</w:t>
                  </w:r>
                </w:p>
              </w:tc>
              <w:tc>
                <w:tcPr>
                  <w:tcW w:w="350" w:type="pct"/>
                  <w:vAlign w:val="top"/>
                </w:tcPr>
                <w:p>
                  <w:r>
                    <w:t xml:space="preserve">59.3</w:t>
                  </w:r>
                </w:p>
              </w:tc>
              <w:tc>
                <w:tcPr>
                  <w:tcW w:w="350" w:type="pct"/>
                  <w:vAlign w:val="top"/>
                </w:tcPr>
                <w:p>
                  <w:r>
                    <w:t xml:space="preserve">44.1</w:t>
                  </w:r>
                </w:p>
              </w:tc>
              <w:tc>
                <w:tcPr>
                  <w:tcW w:w="350" w:type="pct"/>
                  <w:vAlign w:val="top"/>
                </w:tcPr>
                <w:p>
                  <w:r>
                    <w:t xml:space="preserve">56.9</w:t>
                  </w:r>
                </w:p>
              </w:tc>
            </w:tr>
            <w:tr>
              <w:trPr/>
              <w:tc>
                <w:tcPr>
                  <w:tcW w:w="2250" w:type="pct"/>
                  <w:vAlign w:val="top"/>
                </w:tcPr>
                <w:p>
                  <w:r>
                    <w:t xml:space="preserve"> 1 Jan 2012 to 31 Dec 2012</w:t>
                  </w:r>
                </w:p>
              </w:tc>
              <w:tc>
                <w:tcPr>
                  <w:tcW w:w="300" w:type="pct"/>
                  <w:vAlign w:val="top"/>
                </w:tcPr>
                <w:p>
                  <w:r>
                    <w:t xml:space="preserve">90.0</w:t>
                  </w:r>
                </w:p>
              </w:tc>
              <w:tc>
                <w:tcPr>
                  <w:tcW w:w="300" w:type="pct"/>
                  <w:vAlign w:val="top"/>
                </w:tcPr>
                <w:p>
                  <w:r>
                    <w:t xml:space="preserve">75.0</w:t>
                  </w:r>
                </w:p>
              </w:tc>
              <w:tc>
                <w:tcPr>
                  <w:tcW w:w="300" w:type="pct"/>
                  <w:vAlign w:val="top"/>
                </w:tcPr>
                <w:p>
                  <w:r>
                    <w:t xml:space="preserve">81.0</w:t>
                  </w:r>
                </w:p>
              </w:tc>
              <w:tc>
                <w:tcPr>
                  <w:tcW w:w="300" w:type="pct"/>
                  <w:vAlign w:val="top"/>
                </w:tcPr>
                <w:p>
                  <w:r>
                    <w:t xml:space="preserve">84.0</w:t>
                  </w:r>
                </w:p>
              </w:tc>
              <w:tc>
                <w:tcPr>
                  <w:tcW w:w="300" w:type="pct"/>
                  <w:vAlign w:val="top"/>
                </w:tcPr>
                <w:p>
                  <w:r>
                    <w:t xml:space="preserve">91.0</w:t>
                  </w:r>
                </w:p>
              </w:tc>
              <w:tc>
                <w:tcPr>
                  <w:tcW w:w="350" w:type="pct"/>
                  <w:vAlign w:val="top"/>
                </w:tcPr>
                <w:p>
                  <w:r>
                    <w:t xml:space="preserve">67.0</w:t>
                  </w:r>
                </w:p>
              </w:tc>
              <w:tc>
                <w:tcPr>
                  <w:tcW w:w="350" w:type="pct"/>
                  <w:vAlign w:val="top"/>
                </w:tcPr>
                <w:p>
                  <w:r>
                    <w:t xml:space="preserve">55.0</w:t>
                  </w:r>
                </w:p>
              </w:tc>
              <w:tc>
                <w:tcPr>
                  <w:tcW w:w="350" w:type="pct"/>
                  <w:vAlign w:val="top"/>
                </w:tcPr>
                <w:p>
                  <w:r>
                    <w:t xml:space="preserve">59.0</w:t>
                  </w:r>
                </w:p>
              </w:tc>
            </w:tr>
            <w:tr>
              <w:trPr/>
              <w:tc>
                <w:tcPr>
                  <w:tcW w:w="2250" w:type="pct"/>
                  <w:vAlign w:val="top"/>
                </w:tcPr>
                <w:p>
                  <w:r>
                    <w:t xml:space="preserve"> 1 Jan 2013 to 31 Dec 2013</w:t>
                  </w:r>
                </w:p>
              </w:tc>
              <w:tc>
                <w:tcPr>
                  <w:tcW w:w="300" w:type="pct"/>
                  <w:vAlign w:val="top"/>
                </w:tcPr>
                <w:p>
                  <w:r>
                    <w:t xml:space="preserve">93.0</w:t>
                  </w:r>
                </w:p>
              </w:tc>
              <w:tc>
                <w:tcPr>
                  <w:tcW w:w="300" w:type="pct"/>
                  <w:vAlign w:val="top"/>
                </w:tcPr>
                <w:p>
                  <w:r>
                    <w:t xml:space="preserve">80.0</w:t>
                  </w:r>
                </w:p>
              </w:tc>
              <w:tc>
                <w:tcPr>
                  <w:tcW w:w="300" w:type="pct"/>
                  <w:vAlign w:val="top"/>
                </w:tcPr>
                <w:p>
                  <w:r>
                    <w:t xml:space="preserve">87.0</w:t>
                  </w:r>
                </w:p>
              </w:tc>
              <w:tc>
                <w:tcPr>
                  <w:tcW w:w="300" w:type="pct"/>
                  <w:vAlign w:val="top"/>
                </w:tcPr>
                <w:p>
                  <w:r>
                    <w:t xml:space="preserve">88.0</w:t>
                  </w:r>
                </w:p>
              </w:tc>
              <w:tc>
                <w:tcPr>
                  <w:tcW w:w="300" w:type="pct"/>
                  <w:vAlign w:val="top"/>
                </w:tcPr>
                <w:p>
                  <w:r>
                    <w:t xml:space="preserve">94.0</w:t>
                  </w:r>
                </w:p>
              </w:tc>
              <w:tc>
                <w:tcPr>
                  <w:tcW w:w="350" w:type="pct"/>
                  <w:vAlign w:val="top"/>
                </w:tcPr>
                <w:p>
                  <w:r>
                    <w:t xml:space="preserve">76.0</w:t>
                  </w:r>
                </w:p>
              </w:tc>
              <w:tc>
                <w:tcPr>
                  <w:tcW w:w="350" w:type="pct"/>
                  <w:vAlign w:val="top"/>
                </w:tcPr>
                <w:p>
                  <w:r>
                    <w:t xml:space="preserve">66.0</w:t>
                  </w:r>
                </w:p>
              </w:tc>
              <w:tc>
                <w:tcPr>
                  <w:tcW w:w="350" w:type="pct"/>
                  <w:vAlign w:val="top"/>
                </w:tcPr>
                <w:p>
                  <w:r>
                    <w:t xml:space="preserve">69.0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88.0</w:t>
                  </w:r>
                </w:p>
              </w:tc>
              <w:tc>
                <w:tcPr>
                  <w:tcW w:w="300" w:type="pct"/>
                  <w:vAlign w:val="top"/>
                </w:tcPr>
                <w:p>
                  <w:r>
                    <w:t xml:space="preserve">94.0</w:t>
                  </w:r>
                </w:p>
              </w:tc>
              <w:tc>
                <w:tcPr>
                  <w:tcW w:w="300" w:type="pct"/>
                  <w:vAlign w:val="top"/>
                </w:tcPr>
                <w:p>
                  <w:r>
                    <w:t xml:space="preserve">95.0</w:t>
                  </w:r>
                </w:p>
              </w:tc>
              <w:tc>
                <w:tcPr>
                  <w:tcW w:w="300" w:type="pct"/>
                  <w:vAlign w:val="top"/>
                </w:tcPr>
                <w:p>
                  <w:r>
                    <w:t xml:space="preserve">97.0</w:t>
                  </w:r>
                </w:p>
              </w:tc>
              <w:tc>
                <w:tcPr>
                  <w:tcW w:w="350" w:type="pct"/>
                  <w:vAlign w:val="top"/>
                </w:tcPr>
                <w:p>
                  <w:r>
                    <w:t xml:space="preserve">84.0</w:t>
                  </w:r>
                </w:p>
              </w:tc>
              <w:tc>
                <w:tcPr>
                  <w:tcW w:w="350" w:type="pct"/>
                  <w:vAlign w:val="top"/>
                </w:tcPr>
                <w:p>
                  <w:r>
                    <w:t xml:space="preserve">78.0</w:t>
                  </w:r>
                </w:p>
              </w:tc>
              <w:tc>
                <w:tcPr>
                  <w:tcW w:w="350" w:type="pct"/>
                  <w:vAlign w:val="top"/>
                </w:tcPr>
                <w:p>
                  <w:r>
                    <w:t xml:space="preserve">77.0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89.0</w:t>
                  </w:r>
                </w:p>
              </w:tc>
              <w:tc>
                <w:tcPr>
                  <w:tcW w:w="350" w:type="pct"/>
                  <w:vAlign w:val="top"/>
                </w:tcPr>
                <w:p>
                  <w:r>
                    <w:t xml:space="preserve">88.0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3 (%)</w:t>
                  </w:r>
                </w:p>
              </w:tc>
            </w:tr>
            <w:tr>
              <w:trPr/>
              <w:tc>
                <w:tcPr>
                  <w:tcW w:w="2250" w:type="pct"/>
                  <w:vAlign w:val="top"/>
                </w:tcPr>
                <w:p>
                  <w:r>
                    <w:t xml:space="preserve"> Baseline</w:t>
                  </w:r>
                </w:p>
              </w:tc>
              <w:tc>
                <w:tcPr>
                  <w:tcW w:w="300" w:type="pct"/>
                  <w:vAlign w:val="top"/>
                </w:tcPr>
                <w:p>
                  <w:r>
                    <w:t xml:space="preserve">89.4</w:t>
                  </w:r>
                </w:p>
              </w:tc>
              <w:tc>
                <w:tcPr>
                  <w:tcW w:w="300" w:type="pct"/>
                  <w:vAlign w:val="top"/>
                </w:tcPr>
                <w:p>
                  <w:r>
                    <w:t xml:space="preserve">91.9</w:t>
                  </w:r>
                </w:p>
              </w:tc>
              <w:tc>
                <w:tcPr>
                  <w:tcW w:w="300" w:type="pct"/>
                  <w:vAlign w:val="top"/>
                </w:tcPr>
                <w:p>
                  <w:r>
                    <w:t xml:space="preserve">88.1</w:t>
                  </w:r>
                </w:p>
              </w:tc>
              <w:tc>
                <w:tcPr>
                  <w:tcW w:w="300" w:type="pct"/>
                  <w:vAlign w:val="top"/>
                </w:tcPr>
                <w:p>
                  <w:r>
                    <w:t xml:space="preserve">97.2</w:t>
                  </w:r>
                </w:p>
              </w:tc>
              <w:tc>
                <w:tcPr>
                  <w:tcW w:w="300" w:type="pct"/>
                  <w:vAlign w:val="top"/>
                </w:tcPr>
                <w:p>
                  <w:r>
                    <w:t xml:space="preserve">95.5</w:t>
                  </w:r>
                </w:p>
              </w:tc>
              <w:tc>
                <w:tcPr>
                  <w:tcW w:w="350" w:type="pct"/>
                  <w:vAlign w:val="top"/>
                </w:tcPr>
                <w:p>
                  <w:r>
                    <w:t xml:space="preserve">76.8</w:t>
                  </w:r>
                </w:p>
              </w:tc>
              <w:tc>
                <w:tcPr>
                  <w:tcW w:w="350" w:type="pct"/>
                  <w:vAlign w:val="top"/>
                </w:tcPr>
                <w:p>
                  <w:r>
                    <w:t xml:space="preserve">76.9</w:t>
                  </w:r>
                </w:p>
              </w:tc>
              <w:tc>
                <w:tcPr>
                  <w:tcW w:w="350" w:type="pct"/>
                  <w:vAlign w:val="top"/>
                </w:tcPr>
                <w:p>
                  <w:r>
                    <w:t xml:space="preserve">81.6</w:t>
                  </w:r>
                </w:p>
              </w:tc>
            </w:tr>
            <w:tr>
              <w:trPr/>
              <w:tc>
                <w:tcPr>
                  <w:tcW w:w="2250" w:type="pct"/>
                  <w:vAlign w:val="top"/>
                </w:tcPr>
                <w:p>
                  <w:r>
                    <w:t xml:space="preserve"> 1 Jan 2012 to 31 Dec 2012</w:t>
                  </w:r>
                </w:p>
              </w:tc>
              <w:tc>
                <w:tcPr>
                  <w:tcW w:w="300" w:type="pct"/>
                  <w:vAlign w:val="top"/>
                </w:tcPr>
                <w:p>
                  <w:r>
                    <w:t xml:space="preserve">92.0</w:t>
                  </w:r>
                </w:p>
              </w:tc>
              <w:tc>
                <w:tcPr>
                  <w:tcW w:w="300" w:type="pct"/>
                  <w:vAlign w:val="top"/>
                </w:tcPr>
                <w:p>
                  <w:r>
                    <w:t xml:space="preserve">93.0</w:t>
                  </w:r>
                </w:p>
              </w:tc>
              <w:tc>
                <w:tcPr>
                  <w:tcW w:w="300" w:type="pct"/>
                  <w:vAlign w:val="top"/>
                </w:tcPr>
                <w:p>
                  <w:r>
                    <w:t xml:space="preserve">91.0</w:t>
                  </w:r>
                </w:p>
              </w:tc>
              <w:tc>
                <w:tcPr>
                  <w:tcW w:w="300" w:type="pct"/>
                  <w:vAlign w:val="top"/>
                </w:tcPr>
                <w:p>
                  <w:r>
                    <w:t xml:space="preserve">98.0</w:t>
                  </w:r>
                </w:p>
              </w:tc>
              <w:tc>
                <w:tcPr>
                  <w:tcW w:w="300" w:type="pct"/>
                  <w:vAlign w:val="top"/>
                </w:tcPr>
                <w:p>
                  <w:r>
                    <w:t xml:space="preserve">97.0</w:t>
                  </w:r>
                </w:p>
              </w:tc>
              <w:tc>
                <w:tcPr>
                  <w:tcW w:w="350" w:type="pct"/>
                  <w:vAlign w:val="top"/>
                </w:tcPr>
                <w:p>
                  <w:r>
                    <w:t xml:space="preserve">81.0</w:t>
                  </w:r>
                </w:p>
              </w:tc>
              <w:tc>
                <w:tcPr>
                  <w:tcW w:w="350" w:type="pct"/>
                  <w:vAlign w:val="top"/>
                </w:tcPr>
                <w:p>
                  <w:r>
                    <w:t xml:space="preserve">82.0</w:t>
                  </w:r>
                </w:p>
              </w:tc>
              <w:tc>
                <w:tcPr>
                  <w:tcW w:w="350" w:type="pct"/>
                  <w:vAlign w:val="top"/>
                </w:tcPr>
                <w:p>
                  <w:r>
                    <w:t xml:space="preserve">84.0</w:t>
                  </w:r>
                </w:p>
              </w:tc>
            </w:tr>
            <w:tr>
              <w:trPr/>
              <w:tc>
                <w:tcPr>
                  <w:tcW w:w="2250" w:type="pct"/>
                  <w:vAlign w:val="top"/>
                </w:tcPr>
                <w:p>
                  <w:r>
                    <w:t xml:space="preserve"> 1 Jan 2013 to 31 Dec 2013</w:t>
                  </w:r>
                </w:p>
              </w:tc>
              <w:tc>
                <w:tcPr>
                  <w:tcW w:w="300" w:type="pct"/>
                  <w:vAlign w:val="top"/>
                </w:tcPr>
                <w:p>
                  <w:r>
                    <w:t xml:space="preserve">95.0</w:t>
                  </w:r>
                </w:p>
              </w:tc>
              <w:tc>
                <w:tcPr>
                  <w:tcW w:w="300" w:type="pct"/>
                  <w:vAlign w:val="top"/>
                </w:tcPr>
                <w:p>
                  <w:r>
                    <w:t xml:space="preserve">94.5</w:t>
                  </w:r>
                </w:p>
              </w:tc>
              <w:tc>
                <w:tcPr>
                  <w:tcW w:w="300" w:type="pct"/>
                  <w:vAlign w:val="top"/>
                </w:tcPr>
                <w:p>
                  <w:r>
                    <w:t xml:space="preserve">94.0</w:t>
                  </w:r>
                </w:p>
              </w:tc>
              <w:tc>
                <w:tcPr>
                  <w:tcW w:w="300" w:type="pct"/>
                  <w:vAlign w:val="top"/>
                </w:tcPr>
                <w:p>
                  <w:r>
                    <w:t xml:space="preserve">98.0</w:t>
                  </w:r>
                </w:p>
              </w:tc>
              <w:tc>
                <w:tcPr>
                  <w:tcW w:w="300" w:type="pct"/>
                  <w:vAlign w:val="top"/>
                </w:tcPr>
                <w:p>
                  <w:r>
                    <w:t xml:space="preserve">98.0</w:t>
                  </w:r>
                </w:p>
              </w:tc>
              <w:tc>
                <w:tcPr>
                  <w:tcW w:w="350" w:type="pct"/>
                  <w:vAlign w:val="top"/>
                </w:tcPr>
                <w:p>
                  <w:r>
                    <w:t xml:space="preserve">86.0</w:t>
                  </w:r>
                </w:p>
              </w:tc>
              <w:tc>
                <w:tcPr>
                  <w:tcW w:w="350" w:type="pct"/>
                  <w:vAlign w:val="top"/>
                </w:tcPr>
                <w:p>
                  <w:r>
                    <w:t xml:space="preserve">86.0</w:t>
                  </w:r>
                </w:p>
              </w:tc>
              <w:tc>
                <w:tcPr>
                  <w:tcW w:w="350" w:type="pct"/>
                  <w:vAlign w:val="top"/>
                </w:tcPr>
                <w:p>
                  <w:r>
                    <w:t xml:space="preserve">87.0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97.0</w:t>
                  </w:r>
                </w:p>
              </w:tc>
              <w:tc>
                <w:tcPr>
                  <w:tcW w:w="300" w:type="pct"/>
                  <w:vAlign w:val="top"/>
                </w:tcPr>
                <w:p>
                  <w:r>
                    <w:t xml:space="preserve">97.0</w:t>
                  </w:r>
                </w:p>
              </w:tc>
              <w:tc>
                <w:tcPr>
                  <w:tcW w:w="300" w:type="pct"/>
                  <w:vAlign w:val="top"/>
                </w:tcPr>
                <w:p>
                  <w:r>
                    <w:t xml:space="preserve">98.5</w:t>
                  </w:r>
                </w:p>
              </w:tc>
              <w:tc>
                <w:tcPr>
                  <w:tcW w:w="300" w:type="pct"/>
                  <w:vAlign w:val="top"/>
                </w:tcPr>
                <w:p>
                  <w:r>
                    <w:t xml:space="preserve">99.0</w:t>
                  </w:r>
                </w:p>
              </w:tc>
              <w:tc>
                <w:tcPr>
                  <w:tcW w:w="350" w:type="pct"/>
                  <w:vAlign w:val="top"/>
                </w:tcPr>
                <w:p>
                  <w:r>
                    <w:t xml:space="preserve">91.0</w:t>
                  </w:r>
                </w:p>
              </w:tc>
              <w:tc>
                <w:tcPr>
                  <w:tcW w:w="350" w:type="pct"/>
                  <w:vAlign w:val="top"/>
                </w:tcPr>
                <w:p>
                  <w:r>
                    <w:t xml:space="preserve">91.0</w:t>
                  </w:r>
                </w:p>
              </w:tc>
              <w:tc>
                <w:tcPr>
                  <w:tcW w:w="350" w:type="pct"/>
                  <w:vAlign w:val="top"/>
                </w:tcPr>
                <w:p>
                  <w:r>
                    <w:t xml:space="preserve">89.0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95.0</w:t>
                  </w:r>
                </w:p>
              </w:tc>
              <w:tc>
                <w:tcPr>
                  <w:tcW w:w="350" w:type="pct"/>
                  <w:vAlign w:val="top"/>
                </w:tcPr>
                <w:p>
                  <w:r>
                    <w:t xml:space="preserve">95.0</w:t>
                  </w:r>
                </w:p>
              </w:tc>
              <w:tc>
                <w:tcPr>
                  <w:tcW w:w="350" w:type="pct"/>
                  <w:vAlign w:val="top"/>
                </w:tcPr>
                <w:p>
                  <w:r>
                    <w:t xml:space="preserve">91.0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bl>
          <w:p>
            <w:r>
              <w:t xml:space="preserve">Source: COAG Reform Council. February 2013. Matrix of performance information: National Partnership on Improving Public Hospital Services. Updated February 2014 based on information provided by email from DOH.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184fed2119438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6a2876623f4a80">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edbc734fd54df4">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7a9f5cfb1d5f44fd">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a08dc7dbe5b14471">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937749c8d1ba41b6">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3d93f87df36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16aed750f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93f87df364e9c" /><Relationship Type="http://schemas.openxmlformats.org/officeDocument/2006/relationships/header" Target="/word/header1.xml" Id="R49f56b368b884b43" /><Relationship Type="http://schemas.openxmlformats.org/officeDocument/2006/relationships/settings" Target="/word/settings.xml" Id="R37f634867a9045b7" /><Relationship Type="http://schemas.openxmlformats.org/officeDocument/2006/relationships/styles" Target="/word/styles.xml" Id="R44422ba61f6e429a" /><Relationship Type="http://schemas.openxmlformats.org/officeDocument/2006/relationships/numbering" Target="/word/numbering.xml" Id="Rba109579ad7f47af" /><Relationship Type="http://schemas.openxmlformats.org/officeDocument/2006/relationships/hyperlink" Target="https://meteor-uat.aihw.gov.au/RegistrationAuthority/10" TargetMode="External" Id="Rc213dbbdeef4449c" /><Relationship Type="http://schemas.openxmlformats.org/officeDocument/2006/relationships/hyperlink" Target="https://meteor-uat.aihw.gov.au/content/528408" TargetMode="External" Id="R57ef5b08511649c1" /><Relationship Type="http://schemas.openxmlformats.org/officeDocument/2006/relationships/hyperlink" Target="https://meteor-uat.aihw.gov.au/RegistrationAuthority/10" TargetMode="External" Id="R8fbbc17467c64e4e" /><Relationship Type="http://schemas.openxmlformats.org/officeDocument/2006/relationships/hyperlink" Target="https://meteor-uat.aihw.gov.au/content/472497" TargetMode="External" Id="R386896ee73cb40f2" /><Relationship Type="http://schemas.openxmlformats.org/officeDocument/2006/relationships/hyperlink" Target="https://meteor-uat.aihw.gov.au/content/472497" TargetMode="External" Id="Re795b3e48dfa4546" /><Relationship Type="http://schemas.openxmlformats.org/officeDocument/2006/relationships/hyperlink" Target="https://meteor-uat.aihw.gov.au/content/471735" TargetMode="External" Id="Rfce8993e093547fb" /><Relationship Type="http://schemas.openxmlformats.org/officeDocument/2006/relationships/hyperlink" Target="https://meteor-uat.aihw.gov.au/content/395071" TargetMode="External" Id="Rbe085457433c43d8" /><Relationship Type="http://schemas.openxmlformats.org/officeDocument/2006/relationships/hyperlink" Target="https://meteor-uat.aihw.gov.au/content/472497" TargetMode="External" Id="Rd50adcb4edb740cd" /><Relationship Type="http://schemas.openxmlformats.org/officeDocument/2006/relationships/hyperlink" Target="https://meteor-uat.aihw.gov.au/content/471744" TargetMode="External" Id="R2cd5f6bae7e04ade" /><Relationship Type="http://schemas.openxmlformats.org/officeDocument/2006/relationships/hyperlink" Target="https://meteor-uat.aihw.gov.au/content/395071" TargetMode="External" Id="R9cf5418ae5594dab" /><Relationship Type="http://schemas.openxmlformats.org/officeDocument/2006/relationships/hyperlink" Target="https://meteor-uat.aihw.gov.au/content/472497" TargetMode="External" Id="R7930c52070ed4756" /><Relationship Type="http://schemas.openxmlformats.org/officeDocument/2006/relationships/hyperlink" Target="https://meteor-uat.aihw.gov.au/content/471735" TargetMode="External" Id="R6d4289401cd54e1c" /><Relationship Type="http://schemas.openxmlformats.org/officeDocument/2006/relationships/hyperlink" Target="https://meteor-uat.aihw.gov.au/content/395071" TargetMode="External" Id="Rd9f17a424cff4baf" /><Relationship Type="http://schemas.openxmlformats.org/officeDocument/2006/relationships/hyperlink" Target="https://meteor-uat.aihw.gov.au/content/472497" TargetMode="External" Id="R63e01a8322d94da9" /><Relationship Type="http://schemas.openxmlformats.org/officeDocument/2006/relationships/hyperlink" Target="https://meteor-uat.aihw.gov.au/content/532053" TargetMode="External" Id="Rca68db9649f74c1b" /><Relationship Type="http://schemas.openxmlformats.org/officeDocument/2006/relationships/hyperlink" Target="https://meteor-uat.aihw.gov.au/content/269973" TargetMode="External" Id="R694a083201bb4eae" /><Relationship Type="http://schemas.openxmlformats.org/officeDocument/2006/relationships/hyperlink" Target="https://meteor-uat.aihw.gov.au/content/395071" TargetMode="External" Id="R41c4232b18214ecc" /><Relationship Type="http://schemas.openxmlformats.org/officeDocument/2006/relationships/hyperlink" Target="https://meteor-uat.aihw.gov.au/content/472497" TargetMode="External" Id="R57c33f523bc148da" /><Relationship Type="http://schemas.openxmlformats.org/officeDocument/2006/relationships/hyperlink" Target="https://meteor-uat.aihw.gov.au/content/270008" TargetMode="External" Id="R108afb3aa33044ef" /><Relationship Type="http://schemas.openxmlformats.org/officeDocument/2006/relationships/hyperlink" Target="https://meteor-uat.aihw.gov.au/content/395071" TargetMode="External" Id="R5d8b481388764c67" /><Relationship Type="http://schemas.openxmlformats.org/officeDocument/2006/relationships/hyperlink" Target="https://meteor-uat.aihw.gov.au/content/472497" TargetMode="External" Id="R5a4d1fab08a54c3d" /><Relationship Type="http://schemas.openxmlformats.org/officeDocument/2006/relationships/hyperlink" Target="https://meteor-uat.aihw.gov.au/content/554927" TargetMode="External" Id="R17184fed21194383" /><Relationship Type="http://schemas.openxmlformats.org/officeDocument/2006/relationships/hyperlink" Target="https://meteor-uat.aihw.gov.au/content/395071" TargetMode="External" Id="Rfb6a2876623f4a80" /><Relationship Type="http://schemas.openxmlformats.org/officeDocument/2006/relationships/hyperlink" Target="https://meteor-uat.aihw.gov.au/content/532935" TargetMode="External" Id="R0aedbc734fd54df4" /><Relationship Type="http://schemas.openxmlformats.org/officeDocument/2006/relationships/hyperlink" Target="https://meteor-uat.aihw.gov.au/RegistrationAuthority/10" TargetMode="External" Id="R7a9f5cfb1d5f44fd" /><Relationship Type="http://schemas.openxmlformats.org/officeDocument/2006/relationships/hyperlink" Target="https://meteor-uat.aihw.gov.au/content/603039" TargetMode="External" Id="Ra08dc7dbe5b14471" /><Relationship Type="http://schemas.openxmlformats.org/officeDocument/2006/relationships/hyperlink" Target="https://meteor-uat.aihw.gov.au/RegistrationAuthority/10" TargetMode="External" Id="R937749c8d1ba41b6" /></Relationships>
</file>

<file path=word/_rels/header1.xml.rels>&#65279;<?xml version="1.0" encoding="utf-8"?><Relationships xmlns="http://schemas.openxmlformats.org/package/2006/relationships"><Relationship Type="http://schemas.openxmlformats.org/officeDocument/2006/relationships/image" Target="/media/image.png" Id="R55b16aed750f4a8b" /></Relationships>
</file>