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44280df2ab497c" /></Relationships>
</file>

<file path=word/document.xml><?xml version="1.0" encoding="utf-8"?>
<w:document xmlns:r="http://schemas.openxmlformats.org/officeDocument/2006/relationships" xmlns:w="http://schemas.openxmlformats.org/wordprocessingml/2006/main">
  <w:body>
    <w:p>
      <w:pPr>
        <w:pStyle w:val="Title"/>
      </w:pPr>
      <w:r>
        <w:t>Person—General Practitioner MBS health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health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MBS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09e2a83e0495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 person was conducted by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b7a4afb2fd4387">
              <w:r>
                <w:rPr>
                  <w:rStyle w:val="Hyperlink"/>
                </w:rPr>
                <w:t xml:space="preserve">Person—General Practitioner MBS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6851d819454a9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conducted by a GP.</w:t>
            </w:r>
          </w:p>
          <w:p>
            <w:pPr>
              <w:spacing w:after="160"/>
            </w:pPr>
            <w:r>
              <w:rPr>
                <w:rStyle w:val="row-content-rich-text"/>
              </w:rPr>
              <w:t xml:space="preserve">CODE 2   No</w:t>
            </w:r>
          </w:p>
          <w:p>
            <w:pPr>
              <w:spacing w:after="160"/>
            </w:pPr>
            <w:r>
              <w:rPr>
                <w:rStyle w:val="row-content-rich-text"/>
              </w:rPr>
              <w:t xml:space="preserve">A person has not received an MBS Health Assessment conducted by a GP.</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r>
              <w:br/>
            </w:r>
            <w:r>
              <w:rPr>
                <w:rStyle w:val="row-content-rich-text"/>
              </w:rPr>
              <w:t xml:space="preserve"> </w:t>
            </w:r>
            <w:r>
              <w:br/>
            </w: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 </w:t>
            </w:r>
          </w:p>
          <w:p>
            <w:pPr>
              <w:pStyle w:val="ListParagraph"/>
              <w:numPr>
                <w:ilvl w:val="0"/>
                <w:numId w:val="2"/>
              </w:numPr>
            </w:pPr>
            <w:r>
              <w:rPr>
                <w:rStyle w:val="row-content-rich-text"/>
              </w:rPr>
              <w:t xml:space="preserve">Group A5 – prolonged attendances to which no other item applies </w:t>
            </w:r>
          </w:p>
          <w:p>
            <w:pPr>
              <w:pStyle w:val="ListParagraph"/>
              <w:numPr>
                <w:ilvl w:val="0"/>
                <w:numId w:val="2"/>
              </w:numPr>
            </w:pPr>
            <w:r>
              <w:rPr>
                <w:rStyle w:val="row-content-rich-text"/>
              </w:rPr>
              <w:t xml:space="preserve">Group A6 – group therapy </w:t>
            </w:r>
          </w:p>
          <w:p>
            <w:pPr>
              <w:pStyle w:val="ListParagraph"/>
              <w:numPr>
                <w:ilvl w:val="0"/>
                <w:numId w:val="2"/>
              </w:numPr>
            </w:pPr>
            <w:r>
              <w:rPr>
                <w:rStyle w:val="row-content-rich-text"/>
              </w:rPr>
              <w:t xml:space="preserve">Group A7 – acupuncture </w:t>
            </w:r>
          </w:p>
          <w:p>
            <w:pPr>
              <w:pStyle w:val="ListParagraph"/>
              <w:numPr>
                <w:ilvl w:val="0"/>
                <w:numId w:val="2"/>
              </w:numPr>
            </w:pPr>
            <w:r>
              <w:rPr>
                <w:rStyle w:val="row-content-rich-text"/>
              </w:rPr>
              <w:t xml:space="preserve">Group A11 – urgent attendances after hours </w:t>
            </w:r>
          </w:p>
          <w:p>
            <w:pPr>
              <w:pStyle w:val="ListParagraph"/>
              <w:numPr>
                <w:ilvl w:val="0"/>
                <w:numId w:val="2"/>
              </w:numPr>
            </w:pPr>
            <w:r>
              <w:rPr>
                <w:rStyle w:val="row-content-rich-text"/>
              </w:rPr>
              <w:t xml:space="preserve">Group A14 – health assessments </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–multidisciplinary case conference – medical practitioner (other than a specialist or consultant physician)</w:t>
            </w:r>
          </w:p>
          <w:p>
            <w:pPr>
              <w:pStyle w:val="ListParagraph"/>
              <w:numPr>
                <w:ilvl w:val="0"/>
                <w:numId w:val="2"/>
              </w:numPr>
            </w:pPr>
            <w:r>
              <w:rPr>
                <w:rStyle w:val="row-content-rich-text"/>
              </w:rPr>
              <w:t xml:space="preserve">Group A16 – medical practitioner sports physician attendances </w:t>
            </w:r>
          </w:p>
          <w:p>
            <w:pPr>
              <w:pStyle w:val="ListParagraph"/>
              <w:numPr>
                <w:ilvl w:val="0"/>
                <w:numId w:val="2"/>
              </w:numPr>
            </w:pPr>
            <w:r>
              <w:rPr>
                <w:rStyle w:val="row-content-rich-text"/>
              </w:rPr>
              <w:t xml:space="preserve">Group A17 – domiciliary and residential management reviews </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spacing w:after="160"/>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b92ec6685047ec">
              <w:r>
                <w:rPr>
                  <w:rStyle w:val="Hyperlink"/>
                </w:rPr>
                <w:t xml:space="preserve">Person—General Practitioner attendance indicator, yes/no code N</w:t>
              </w:r>
            </w:hyperlink>
          </w:p>
          <w:p>
            <w:pPr>
              <w:pStyle w:val="registration-status"/>
              <w:spacing w:before="0" w:after="0"/>
            </w:pPr>
            <w:hyperlink w:history="true" r:id="R86995b0371d64ff8">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46333102c7941a9">
              <w:r>
                <w:rPr>
                  <w:rStyle w:val="Hyperlink"/>
                </w:rPr>
                <w:t xml:space="preserve">Australian Health Performance Framework: PI 2.5.1–Bulk-billing for non-referred (GP) attendances, 2020</w:t>
              </w:r>
            </w:hyperlink>
          </w:p>
          <w:p>
            <w:pPr>
              <w:pStyle w:val="registration-status"/>
              <w:spacing w:before="0" w:after="0"/>
            </w:pPr>
            <w:hyperlink w:history="true" r:id="Rb8b343afad494b60">
              <w:r>
                <w:rPr>
                  <w:rStyle w:val="Hyperlink"/>
                  <w:color w:val="244061"/>
                </w:rPr>
                <w:t xml:space="preserve">Health!</w:t>
              </w:r>
            </w:hyperlink>
            <w:r>
              <w:rPr>
                <w:rStyle w:val="row-content"/>
                <w:color w:val="244061"/>
              </w:rPr>
              <w:t xml:space="preserve">, Standard 13/10/2021</w:t>
            </w:r>
          </w:p>
          <w:p>
            <w:r>
              <w:br/>
            </w:r>
            <w:hyperlink w:history="true" r:id="Rca155f15be804b5f">
              <w:r>
                <w:rPr>
                  <w:rStyle w:val="Hyperlink"/>
                </w:rPr>
                <w:t xml:space="preserve">National Health Performance Authority, Healthy Communities: Bulk-billed GP attendances, 2012–13</w:t>
              </w:r>
            </w:hyperlink>
          </w:p>
          <w:p>
            <w:pPr>
              <w:pStyle w:val="registration-status"/>
              <w:spacing w:before="0" w:after="0"/>
            </w:pPr>
            <w:hyperlink w:history="true" r:id="Rfca5560fa21c4494">
              <w:r>
                <w:rPr>
                  <w:rStyle w:val="Hyperlink"/>
                  <w:color w:val="244061"/>
                </w:rPr>
                <w:t xml:space="preserve"> National Health Performance Authority (retired)</w:t>
              </w:r>
            </w:hyperlink>
            <w:r>
              <w:rPr>
                <w:rStyle w:val="row-content"/>
                <w:color w:val="244061"/>
              </w:rPr>
              <w:t xml:space="preserve">, Retired 01/07/2016</w:t>
            </w:r>
          </w:p>
          <w:p>
            <w:r>
              <w:br/>
            </w:r>
            <w:hyperlink w:history="true" r:id="R96e1fc33fbcf4733">
              <w:r>
                <w:rPr>
                  <w:rStyle w:val="Hyperlink"/>
                </w:rPr>
                <w:t xml:space="preserve">National Health Performance Authority, Healthy Communities: Bulk-billed GP attendances, 2013–14</w:t>
              </w:r>
            </w:hyperlink>
          </w:p>
          <w:p>
            <w:pPr>
              <w:pStyle w:val="registration-status"/>
              <w:spacing w:before="0" w:after="0"/>
            </w:pPr>
            <w:hyperlink w:history="true" r:id="Recd5a56bf8c44516">
              <w:r>
                <w:rPr>
                  <w:rStyle w:val="Hyperlink"/>
                  <w:color w:val="244061"/>
                </w:rPr>
                <w:t xml:space="preserve"> National Health Performance Authority (retired)</w:t>
              </w:r>
            </w:hyperlink>
            <w:r>
              <w:rPr>
                <w:rStyle w:val="row-content"/>
                <w:color w:val="244061"/>
              </w:rPr>
              <w:t xml:space="preserve">, Retired 01/07/2016</w:t>
            </w:r>
          </w:p>
          <w:p>
            <w:r>
              <w:br/>
            </w:r>
            <w:hyperlink w:history="true" r:id="Re681e67e241b4ddb">
              <w:r>
                <w:rPr>
                  <w:rStyle w:val="Hyperlink"/>
                </w:rPr>
                <w:t xml:space="preserve">National Health Performance Authority, Healthy Communities: Expenditure on GP attendances, 2012–13</w:t>
              </w:r>
            </w:hyperlink>
          </w:p>
          <w:p>
            <w:pPr>
              <w:pStyle w:val="registration-status"/>
              <w:spacing w:before="0" w:after="0"/>
            </w:pPr>
            <w:hyperlink w:history="true" r:id="R22b1589254e5422e">
              <w:r>
                <w:rPr>
                  <w:rStyle w:val="Hyperlink"/>
                  <w:color w:val="244061"/>
                </w:rPr>
                <w:t xml:space="preserve"> National Health Performance Authority (retired)</w:t>
              </w:r>
            </w:hyperlink>
            <w:r>
              <w:rPr>
                <w:rStyle w:val="row-content"/>
                <w:color w:val="244061"/>
              </w:rPr>
              <w:t xml:space="preserve">, Retired 01/07/2016</w:t>
            </w:r>
          </w:p>
          <w:p>
            <w:r>
              <w:br/>
            </w:r>
            <w:hyperlink w:history="true" r:id="R34166d4184ac4489">
              <w:r>
                <w:rPr>
                  <w:rStyle w:val="Hyperlink"/>
                </w:rPr>
                <w:t xml:space="preserve">National Health Performance Authority, Healthy Communities: Expenditure on GP attendances, 2013–14</w:t>
              </w:r>
            </w:hyperlink>
          </w:p>
          <w:p>
            <w:pPr>
              <w:pStyle w:val="registration-status"/>
              <w:spacing w:before="0" w:after="0"/>
            </w:pPr>
            <w:hyperlink w:history="true" r:id="Rdfa21977bc4b4c4d">
              <w:r>
                <w:rPr>
                  <w:rStyle w:val="Hyperlink"/>
                  <w:color w:val="244061"/>
                </w:rPr>
                <w:t xml:space="preserve"> National Health Performance Authority (retired)</w:t>
              </w:r>
            </w:hyperlink>
            <w:r>
              <w:rPr>
                <w:rStyle w:val="row-content"/>
                <w:color w:val="244061"/>
              </w:rPr>
              <w:t xml:space="preserve">, Retired 01/07/2016</w:t>
            </w:r>
          </w:p>
          <w:p>
            <w:r>
              <w:br/>
            </w:r>
            <w:hyperlink w:history="true" r:id="Reb5083899bff4e76">
              <w:r>
                <w:rPr>
                  <w:rStyle w:val="Hyperlink"/>
                </w:rPr>
                <w:t xml:space="preserve">National Health Performance Authority, Healthy Communities: GP attendances, 2012–13</w:t>
              </w:r>
            </w:hyperlink>
          </w:p>
          <w:p>
            <w:pPr>
              <w:pStyle w:val="registration-status"/>
              <w:spacing w:before="0" w:after="0"/>
            </w:pPr>
            <w:hyperlink w:history="true" r:id="Rf091661df88c4418">
              <w:r>
                <w:rPr>
                  <w:rStyle w:val="Hyperlink"/>
                  <w:color w:val="244061"/>
                </w:rPr>
                <w:t xml:space="preserve"> National Health Performance Authority (retired)</w:t>
              </w:r>
            </w:hyperlink>
            <w:r>
              <w:rPr>
                <w:rStyle w:val="row-content"/>
                <w:color w:val="244061"/>
              </w:rPr>
              <w:t xml:space="preserve">, Retired 01/07/2016</w:t>
            </w:r>
          </w:p>
          <w:p>
            <w:r>
              <w:br/>
            </w:r>
            <w:hyperlink w:history="true" r:id="R3667e05425d04f17">
              <w:r>
                <w:rPr>
                  <w:rStyle w:val="Hyperlink"/>
                </w:rPr>
                <w:t xml:space="preserve">National Health Performance Authority, Healthy Communities: GP attendances, 2013–14</w:t>
              </w:r>
            </w:hyperlink>
          </w:p>
          <w:p>
            <w:pPr>
              <w:pStyle w:val="registration-status"/>
              <w:spacing w:before="0" w:after="0"/>
            </w:pPr>
            <w:hyperlink w:history="true" r:id="Rfbbf0f2d0d3c4a4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b/>
              </w:rPr>
              <w:t xml:space="preserve">Used as Denominator</w:t>
            </w:r>
            <w:r>
              <w:br/>
            </w:r>
            <w:hyperlink w:history="true" r:id="R6cd4e443c1be43e2">
              <w:r>
                <w:rPr>
                  <w:rStyle w:val="Hyperlink"/>
                </w:rPr>
                <w:t xml:space="preserve">Australian Health Performance Framework: PI 2.5.1–Bulk-billing for non-referred (GP) attendances, 2020</w:t>
              </w:r>
            </w:hyperlink>
          </w:p>
          <w:p>
            <w:pPr>
              <w:pStyle w:val="registration-status"/>
              <w:spacing w:before="0" w:after="0"/>
            </w:pPr>
            <w:hyperlink w:history="true" r:id="R7a064af2585b464f">
              <w:r>
                <w:rPr>
                  <w:rStyle w:val="Hyperlink"/>
                  <w:color w:val="244061"/>
                </w:rPr>
                <w:t xml:space="preserve">Health!</w:t>
              </w:r>
            </w:hyperlink>
            <w:r>
              <w:rPr>
                <w:rStyle w:val="row-content"/>
                <w:color w:val="244061"/>
              </w:rPr>
              <w:t xml:space="preserve">, Standard 13/10/2021</w:t>
            </w:r>
          </w:p>
          <w:p>
            <w:r>
              <w:br/>
            </w:r>
            <w:hyperlink w:history="true" r:id="Rd8fa1948f0c54d69">
              <w:r>
                <w:rPr>
                  <w:rStyle w:val="Hyperlink"/>
                </w:rPr>
                <w:t xml:space="preserve">National Health Performance Authority, Healthy Communities: Bulk-billed GP attendances, 2012–13</w:t>
              </w:r>
            </w:hyperlink>
          </w:p>
          <w:p>
            <w:pPr>
              <w:pStyle w:val="registration-status"/>
              <w:spacing w:before="0" w:after="0"/>
            </w:pPr>
            <w:hyperlink w:history="true" r:id="Ra29621b6b7dd48ff">
              <w:r>
                <w:rPr>
                  <w:rStyle w:val="Hyperlink"/>
                  <w:color w:val="244061"/>
                </w:rPr>
                <w:t xml:space="preserve"> National Health Performance Authority (retired)</w:t>
              </w:r>
            </w:hyperlink>
            <w:r>
              <w:rPr>
                <w:rStyle w:val="row-content"/>
                <w:color w:val="244061"/>
              </w:rPr>
              <w:t xml:space="preserve">, Retired 01/07/2016</w:t>
            </w:r>
          </w:p>
          <w:p>
            <w:r>
              <w:br/>
            </w:r>
            <w:hyperlink w:history="true" r:id="R4a06867465f14b47">
              <w:r>
                <w:rPr>
                  <w:rStyle w:val="Hyperlink"/>
                </w:rPr>
                <w:t xml:space="preserve">National Health Performance Authority, Healthy Communities: Bulk-billed GP attendances, 2013–14</w:t>
              </w:r>
            </w:hyperlink>
          </w:p>
          <w:p>
            <w:pPr>
              <w:pStyle w:val="registration-status"/>
              <w:spacing w:before="0" w:after="0"/>
            </w:pPr>
            <w:hyperlink w:history="true" r:id="R108e3ae833af4400">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202d2e594070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74c86047f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d2e5940704df3" /><Relationship Type="http://schemas.openxmlformats.org/officeDocument/2006/relationships/header" Target="/word/header1.xml" Id="R2cd9039541164c92" /><Relationship Type="http://schemas.openxmlformats.org/officeDocument/2006/relationships/settings" Target="/word/settings.xml" Id="Rb70b58c9437c4f6f" /><Relationship Type="http://schemas.openxmlformats.org/officeDocument/2006/relationships/styles" Target="/word/styles.xml" Id="R5ba56ec53a71405a" /><Relationship Type="http://schemas.openxmlformats.org/officeDocument/2006/relationships/numbering" Target="/word/numbering.xml" Id="R57c2f2a57f8b4a55" /><Relationship Type="http://schemas.openxmlformats.org/officeDocument/2006/relationships/hyperlink" Target="https://meteor-uat.aihw.gov.au/RegistrationAuthority/10" TargetMode="External" Id="Re5909e2a83e04954" /><Relationship Type="http://schemas.openxmlformats.org/officeDocument/2006/relationships/hyperlink" Target="https://meteor-uat.aihw.gov.au/content/554984" TargetMode="External" Id="Rc4b7a4afb2fd4387" /><Relationship Type="http://schemas.openxmlformats.org/officeDocument/2006/relationships/hyperlink" Target="https://meteor-uat.aihw.gov.au/content/270732" TargetMode="External" Id="R146851d819454a9e" /><Relationship Type="http://schemas.openxmlformats.org/officeDocument/2006/relationships/hyperlink" Target="https://meteor-uat.aihw.gov.au/content/603651" TargetMode="External" Id="R84b92ec6685047ec" /><Relationship Type="http://schemas.openxmlformats.org/officeDocument/2006/relationships/hyperlink" Target="https://meteor-uat.aihw.gov.au/RegistrationAuthority/10" TargetMode="External" Id="R86995b0371d64ff8" /><Relationship Type="http://schemas.openxmlformats.org/officeDocument/2006/relationships/hyperlink" Target="https://meteor-uat.aihw.gov.au/content/728349" TargetMode="External" Id="R246333102c7941a9" /><Relationship Type="http://schemas.openxmlformats.org/officeDocument/2006/relationships/hyperlink" Target="https://meteor-uat.aihw.gov.au/RegistrationAuthority/14" TargetMode="External" Id="Rb8b343afad494b60" /><Relationship Type="http://schemas.openxmlformats.org/officeDocument/2006/relationships/hyperlink" Target="https://meteor-uat.aihw.gov.au/content/528911" TargetMode="External" Id="Rca155f15be804b5f" /><Relationship Type="http://schemas.openxmlformats.org/officeDocument/2006/relationships/hyperlink" Target="https://meteor-uat.aihw.gov.au/RegistrationAuthority/10" TargetMode="External" Id="Rfca5560fa21c4494" /><Relationship Type="http://schemas.openxmlformats.org/officeDocument/2006/relationships/hyperlink" Target="https://meteor-uat.aihw.gov.au/content/620171" TargetMode="External" Id="R96e1fc33fbcf4733" /><Relationship Type="http://schemas.openxmlformats.org/officeDocument/2006/relationships/hyperlink" Target="https://meteor-uat.aihw.gov.au/RegistrationAuthority/10" TargetMode="External" Id="Recd5a56bf8c44516" /><Relationship Type="http://schemas.openxmlformats.org/officeDocument/2006/relationships/hyperlink" Target="https://meteor-uat.aihw.gov.au/content/547154" TargetMode="External" Id="Re681e67e241b4ddb" /><Relationship Type="http://schemas.openxmlformats.org/officeDocument/2006/relationships/hyperlink" Target="https://meteor-uat.aihw.gov.au/RegistrationAuthority/10" TargetMode="External" Id="R22b1589254e5422e" /><Relationship Type="http://schemas.openxmlformats.org/officeDocument/2006/relationships/hyperlink" Target="https://meteor-uat.aihw.gov.au/content/620159" TargetMode="External" Id="R34166d4184ac4489" /><Relationship Type="http://schemas.openxmlformats.org/officeDocument/2006/relationships/hyperlink" Target="https://meteor-uat.aihw.gov.au/RegistrationAuthority/10" TargetMode="External" Id="Rdfa21977bc4b4c4d" /><Relationship Type="http://schemas.openxmlformats.org/officeDocument/2006/relationships/hyperlink" Target="https://meteor-uat.aihw.gov.au/content/547145" TargetMode="External" Id="Reb5083899bff4e76" /><Relationship Type="http://schemas.openxmlformats.org/officeDocument/2006/relationships/hyperlink" Target="https://meteor-uat.aihw.gov.au/RegistrationAuthority/10" TargetMode="External" Id="Rf091661df88c4418" /><Relationship Type="http://schemas.openxmlformats.org/officeDocument/2006/relationships/hyperlink" Target="https://meteor-uat.aihw.gov.au/content/620141" TargetMode="External" Id="R3667e05425d04f17" /><Relationship Type="http://schemas.openxmlformats.org/officeDocument/2006/relationships/hyperlink" Target="https://meteor-uat.aihw.gov.au/RegistrationAuthority/10" TargetMode="External" Id="Rfbbf0f2d0d3c4a4f" /><Relationship Type="http://schemas.openxmlformats.org/officeDocument/2006/relationships/hyperlink" Target="https://meteor-uat.aihw.gov.au/content/728349" TargetMode="External" Id="R6cd4e443c1be43e2" /><Relationship Type="http://schemas.openxmlformats.org/officeDocument/2006/relationships/hyperlink" Target="https://meteor-uat.aihw.gov.au/RegistrationAuthority/14" TargetMode="External" Id="R7a064af2585b464f" /><Relationship Type="http://schemas.openxmlformats.org/officeDocument/2006/relationships/hyperlink" Target="https://meteor-uat.aihw.gov.au/content/528911" TargetMode="External" Id="Rd8fa1948f0c54d69" /><Relationship Type="http://schemas.openxmlformats.org/officeDocument/2006/relationships/hyperlink" Target="https://meteor-uat.aihw.gov.au/RegistrationAuthority/10" TargetMode="External" Id="Ra29621b6b7dd48ff" /><Relationship Type="http://schemas.openxmlformats.org/officeDocument/2006/relationships/hyperlink" Target="https://meteor-uat.aihw.gov.au/content/620171" TargetMode="External" Id="R4a06867465f14b47" /><Relationship Type="http://schemas.openxmlformats.org/officeDocument/2006/relationships/hyperlink" Target="https://meteor-uat.aihw.gov.au/RegistrationAuthority/10" TargetMode="External" Id="R108e3ae833af4400" /></Relationships>
</file>

<file path=word/_rels/header1.xml.rels>&#65279;<?xml version="1.0" encoding="utf-8"?><Relationships xmlns="http://schemas.openxmlformats.org/package/2006/relationships"><Relationship Type="http://schemas.openxmlformats.org/officeDocument/2006/relationships/image" Target="/media/image.png" Id="Rcd674c86047f4ab9" /></Relationships>
</file>