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43f79347fc450e" /></Relationships>
</file>

<file path=word/document.xml><?xml version="1.0" encoding="utf-8"?>
<w:document xmlns:r="http://schemas.openxmlformats.org/officeDocument/2006/relationships" xmlns:w="http://schemas.openxmlformats.org/wordprocessingml/2006/main">
  <w:body>
    <w:p>
      <w:pPr>
        <w:pStyle w:val="Title"/>
      </w:pPr>
      <w:r>
        <w:t>Revenue data element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Revenue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a6b30f81274910">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revenue received by establishments.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Revenue data element cluster comprises three data elements that provide information on the categories of revenue received by establishments, the total amount of revenue and whether these data are estimated.</w:t>
            </w:r>
          </w:p>
          <w:p>
            <w:pPr>
              <w:spacing w:after="160"/>
            </w:pPr>
            <w:r>
              <w:rPr>
                <w:rStyle w:val="row-content-rich-text"/>
              </w:rPr>
              <w:t xml:space="preserve">The Revenue data element cluster describes the following information for an establishment:</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Revenue streams</w:t>
                  </w:r>
                </w:p>
              </w:tc>
              <w:tc>
                <w:tcPr>
                  <w:tcW w:w="750" w:type="pct"/>
                  <w:vAlign w:val="top"/>
                </w:tcPr>
                <w:p>
                  <w:r>
                    <w:rPr>
                      <w:b/>
                    </w:rPr>
                    <w:t xml:space="preserve">Total Australian dollars</w:t>
                  </w:r>
                </w:p>
              </w:tc>
              <w:tc>
                <w:tcPr>
                  <w:tcW w:w="1700" w:type="pct"/>
                  <w:vAlign w:val="top"/>
                </w:tcPr>
                <w:p>
                  <w:r>
                    <w:rPr>
                      <w:b/>
                    </w:rPr>
                    <w:t xml:space="preserve">Estimated data indicator</w:t>
                  </w:r>
                </w:p>
              </w:tc>
            </w:tr>
            <w:tr>
              <w:trPr/>
              <w:tc>
                <w:tcPr>
                  <w:tcW w:w="2500" w:type="pct"/>
                  <w:vAlign w:val="top"/>
                </w:tcPr>
                <w:p>
                  <w:r>
                    <w:t xml:space="preserve">Department of Veterans' Affairs</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Compensable schemes</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Other patient </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Commonwealth funding/subsidies</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State or territory health authority funding</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Other state or territory funding</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National Health Funding Pool - state or territory government component</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National Health Funding Pool - Commonwealth government component</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Infrastructure/facility fees</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Other recoveries</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Revenue not elsewhere reported</w:t>
                  </w:r>
                </w:p>
              </w:tc>
              <w:tc>
                <w:tcPr>
                  <w:tcW w:w="750" w:type="pct"/>
                  <w:vAlign w:val="top"/>
                </w:tcPr>
                <w:p>
                  <w:r>
                    <w:t xml:space="preserve">N(8)</w:t>
                  </w:r>
                </w:p>
              </w:tc>
              <w:tc>
                <w:tcPr>
                  <w:tcW w:w="1700" w:type="pct"/>
                  <w:vAlign w:val="top"/>
                </w:tcPr>
                <w:p>
                  <w:r>
                    <w:t xml:space="preserve">1. Yes</w:t>
                  </w:r>
                  <w:r>
                    <w:br/>
                  </w:r>
                  <w:r>
                    <w:t xml:space="preserve">2. No</w:t>
                  </w:r>
                </w:p>
              </w:tc>
            </w:tr>
          </w:tbl>
          <w:p>
            <w:r>
              <w:t xml:space="preserve"> </w:t>
            </w:r>
          </w:p>
          <w:p>
            <w:r>
              <w:t xml:space="preserve">The reported revenue must be prepared using accrual basis of accounting as per the Australian Accounting Standards Board, Standard 101.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f326348981c4334">
              <w:r>
                <w:rPr>
                  <w:rStyle w:val="Hyperlink"/>
                </w:rPr>
                <w:t xml:space="preserve">Revenue data element cluster</w:t>
              </w:r>
            </w:hyperlink>
          </w:p>
          <w:p>
            <w:pPr>
              <w:pStyle w:val="registration-status"/>
              <w:spacing w:before="0" w:after="0"/>
            </w:pPr>
            <w:hyperlink w:history="true" r:id="R97a5a341fee14e31">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76c089b4554f0f">
              <w:r>
                <w:rPr>
                  <w:rStyle w:val="Hyperlink"/>
                </w:rPr>
                <w:t xml:space="preserve">Local Hospital Networks DSS 2014-15</w:t>
              </w:r>
            </w:hyperlink>
          </w:p>
          <w:p>
            <w:pPr>
              <w:pStyle w:val="registration-status"/>
              <w:spacing w:before="0" w:after="0"/>
            </w:pPr>
            <w:hyperlink w:history="true" r:id="R25e32ad927ad459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066bbcf19704c72">
              <w:r>
                <w:rPr>
                  <w:rStyle w:val="Hyperlink"/>
                </w:rPr>
                <w:t xml:space="preserve">Local Hospital Networks DSS 2015-16</w:t>
              </w:r>
            </w:hyperlink>
          </w:p>
          <w:p>
            <w:pPr>
              <w:pStyle w:val="registration-status"/>
              <w:spacing w:before="0" w:after="0"/>
            </w:pPr>
            <w:hyperlink w:history="true" r:id="R8935ddcb759a4747">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91de0f1969b4528">
              <w:r>
                <w:rPr>
                  <w:rStyle w:val="Hyperlink"/>
                </w:rPr>
                <w:t xml:space="preserve">Public hospital establishments NMDS 2014-15</w:t>
              </w:r>
            </w:hyperlink>
          </w:p>
          <w:p>
            <w:pPr>
              <w:pStyle w:val="registration-status"/>
              <w:spacing w:before="0" w:after="0"/>
            </w:pPr>
            <w:hyperlink w:history="true" r:id="Rb32177015859488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db5beade61c484f">
              <w:r>
                <w:rPr>
                  <w:rStyle w:val="Hyperlink"/>
                </w:rPr>
                <w:t xml:space="preserve">Public hospital establishments NMDS 2015-16</w:t>
              </w:r>
            </w:hyperlink>
          </w:p>
          <w:p>
            <w:pPr>
              <w:pStyle w:val="registration-status"/>
              <w:spacing w:before="0" w:after="0"/>
            </w:pPr>
            <w:hyperlink w:history="true" r:id="R2994a79686ce4901">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35fa0386e94f6f">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0401b8bc8c45dd">
                    <w:r>
                      <w:rPr>
                        <w:rStyle w:val="Hyperlink"/>
                      </w:rPr>
                      <w:t xml:space="preserve">Establishment—public hospital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9139465e7a47f7">
                    <w:r>
                      <w:rPr>
                        <w:rStyle w:val="Hyperlink"/>
                      </w:rPr>
                      <w:t xml:space="preserve">Establishment—public hospital related revenue,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51fec228b4bf41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552502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474792e67a4e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fec228b4bf4139" /><Relationship Type="http://schemas.openxmlformats.org/officeDocument/2006/relationships/header" Target="/word/header1.xml" Id="R14eeb168f6af42a7" /><Relationship Type="http://schemas.openxmlformats.org/officeDocument/2006/relationships/settings" Target="/word/settings.xml" Id="R72f9eb333b304399" /><Relationship Type="http://schemas.openxmlformats.org/officeDocument/2006/relationships/styles" Target="/word/styles.xml" Id="Rd6e9f7d4edb0409d" /><Relationship Type="http://schemas.openxmlformats.org/officeDocument/2006/relationships/hyperlink" Target="https://meteor-uat.aihw.gov.au/RegistrationAuthority/14" TargetMode="External" Id="Refa6b30f81274910" /><Relationship Type="http://schemas.openxmlformats.org/officeDocument/2006/relationships/hyperlink" Target="https://meteor-uat.aihw.gov.au/content/616039" TargetMode="External" Id="R6f326348981c4334" /><Relationship Type="http://schemas.openxmlformats.org/officeDocument/2006/relationships/hyperlink" Target="https://meteor-uat.aihw.gov.au/RegistrationAuthority/14" TargetMode="External" Id="R97a5a341fee14e31" /><Relationship Type="http://schemas.openxmlformats.org/officeDocument/2006/relationships/hyperlink" Target="https://meteor-uat.aihw.gov.au/content/555334" TargetMode="External" Id="R6776c089b4554f0f" /><Relationship Type="http://schemas.openxmlformats.org/officeDocument/2006/relationships/hyperlink" Target="https://meteor-uat.aihw.gov.au/RegistrationAuthority/14" TargetMode="External" Id="R25e32ad927ad4596" /><Relationship Type="http://schemas.openxmlformats.org/officeDocument/2006/relationships/hyperlink" Target="https://meteor-uat.aihw.gov.au/content/600241" TargetMode="External" Id="R1066bbcf19704c72" /><Relationship Type="http://schemas.openxmlformats.org/officeDocument/2006/relationships/hyperlink" Target="https://meteor-uat.aihw.gov.au/RegistrationAuthority/14" TargetMode="External" Id="R8935ddcb759a4747" /><Relationship Type="http://schemas.openxmlformats.org/officeDocument/2006/relationships/hyperlink" Target="https://meteor-uat.aihw.gov.au/content/540101" TargetMode="External" Id="R191de0f1969b4528" /><Relationship Type="http://schemas.openxmlformats.org/officeDocument/2006/relationships/hyperlink" Target="https://meteor-uat.aihw.gov.au/RegistrationAuthority/14" TargetMode="External" Id="Rb321770158594888" /><Relationship Type="http://schemas.openxmlformats.org/officeDocument/2006/relationships/hyperlink" Target="https://meteor-uat.aihw.gov.au/content/600230" TargetMode="External" Id="Radb5beade61c484f" /><Relationship Type="http://schemas.openxmlformats.org/officeDocument/2006/relationships/hyperlink" Target="https://meteor-uat.aihw.gov.au/RegistrationAuthority/14" TargetMode="External" Id="R2994a79686ce4901" /><Relationship Type="http://schemas.openxmlformats.org/officeDocument/2006/relationships/hyperlink" Target="https://meteor-uat.aihw.gov.au/content/548891" TargetMode="External" Id="R7a35fa0386e94f6f" /><Relationship Type="http://schemas.openxmlformats.org/officeDocument/2006/relationships/hyperlink" Target="https://meteor-uat.aihw.gov.au/content/545906" TargetMode="External" Id="R990401b8bc8c45dd" /><Relationship Type="http://schemas.openxmlformats.org/officeDocument/2006/relationships/hyperlink" Target="https://meteor-uat.aihw.gov.au/content/542019" TargetMode="External" Id="R119139465e7a47f7" /></Relationships>
</file>

<file path=word/_rels/header1.xml.rels>&#65279;<?xml version="1.0" encoding="utf-8"?><Relationships xmlns="http://schemas.openxmlformats.org/package/2006/relationships"><Relationship Type="http://schemas.openxmlformats.org/officeDocument/2006/relationships/image" Target="/media/image.png" Id="R80474792e67a4e58" /></Relationships>
</file>