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401e1d53a4912" /></Relationships>
</file>

<file path=word/document.xml><?xml version="1.0" encoding="utf-8"?>
<w:document xmlns:r="http://schemas.openxmlformats.org/officeDocument/2006/relationships" xmlns:w="http://schemas.openxmlformats.org/wordprocessingml/2006/main">
  <w:body>
    <w:p>
      <w:pPr>
        <w:pStyle w:val="Title"/>
      </w:pPr>
      <w:r>
        <w:t>Non-admitted patient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6e3de16371e4e0b">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5a1b460ab0124273">
                    <w:r>
                      <w:rPr>
                        <w:rStyle w:val="Hyperlink"/>
                      </w:rPr>
                      <w:t xml:space="preserve">Local Hospital Network identifier</w:t>
                    </w:r>
                  </w:hyperlink>
                </w:p>
              </w:tc>
              <w:tc>
                <w:tcPr>
                  <w:vAlign w:val="top"/>
                </w:tcPr>
                <w:p>
                  <w:r>
                    <w:t xml:space="preserve">556975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f0dccde9cdc4e87">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a002aa6b40d4b07">
                    <w:r>
                      <w:rPr>
                        <w:rStyle w:val="Hyperlink"/>
                      </w:rPr>
                      <w:t xml:space="preserve">Care type, derived</w:t>
                    </w:r>
                  </w:hyperlink>
                </w:p>
              </w:tc>
              <w:tc>
                <w:tcPr>
                  <w:vAlign w:val="top"/>
                </w:tcPr>
                <w:p>
                  <w:r>
                    <w:t xml:space="preserve">548212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4bfbb40abaff4270">
                    <w:r>
                      <w:rPr>
                        <w:rStyle w:val="Hyperlink"/>
                      </w:rPr>
                      <w:t xml:space="preserve">Group session indicator</w:t>
                    </w:r>
                  </w:hyperlink>
                </w:p>
              </w:tc>
              <w:tc>
                <w:tcPr>
                  <w:vAlign w:val="top"/>
                </w:tcPr>
                <w:p>
                  <w:r>
                    <w:t xml:space="preserve">400662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22f501fb96c43e5">
                    <w:r>
                      <w:rPr>
                        <w:rStyle w:val="Hyperlink"/>
                      </w:rPr>
                      <w:t xml:space="preserve">Non-admitted service type</w:t>
                    </w:r>
                  </w:hyperlink>
                </w:p>
              </w:tc>
              <w:tc>
                <w:tcPr>
                  <w:vAlign w:val="top"/>
                </w:tcPr>
                <w:p>
                  <w:r>
                    <w:t xml:space="preserve">548189</w:t>
                  </w:r>
                </w:p>
              </w:tc>
              <w:tc>
                <w:tcPr>
                  <w:vAlign w:val="top"/>
                </w:tcPr>
                <w:p>
                  <w:r>
                    <w:t xml:space="preserve">Number
[4]</w:t>
                  </w:r>
                </w:p>
              </w:tc>
              <w:tc>
                <w:tcPr>
                  <w:vAlign w:val="top"/>
                </w:tcPr>
                <w:p>
                  <w:r>
                    <w:t xml:space="preserve">NN.NN</w:t>
                  </w:r>
                  <w:r>
                    <w:br/>
                  </w:r>
                  <w:r>
                    <w:t xml:space="preserve">The Tier 2 Non-Admitted Services (version 3.0)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8fc67167e70f4af3">
                    <w:r>
                      <w:rPr>
                        <w:rStyle w:val="Hyperlink"/>
                      </w:rPr>
                      <w:t xml:space="preserve">Outpatient clinic type—non-admitted patient</w:t>
                    </w:r>
                  </w:hyperlink>
                </w:p>
              </w:tc>
              <w:tc>
                <w:tcPr>
                  <w:vAlign w:val="top"/>
                </w:tcPr>
                <w:p>
                  <w:r>
                    <w:t xml:space="preserve">400598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Obstetrics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Cardiology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Endocrinology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Oncology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Respiratory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Gastroenterology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Medical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practice/primary care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medical</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Endoscopy</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Pre-admission and pre-anaesthesia</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Chemotherapy</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Dialysis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Paediatric surgery</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Renal medical</w:t>
                        </w:r>
                      </w:p>
                    </w:tc>
                  </w:tr>
                </w:tbl>
                <w:p/>
              </w:tc>
            </w:tr>
            <w:tr>
              <w:trPr/>
              <w:tc>
                <w:tcPr>
                  <w:tcMar>
                    <w:right w:w="29" w:type="dxa"/>
                  </w:tcMar>
                  <w:vAlign w:val="top"/>
                </w:tcPr>
                <w:p>
                  <w:pPr>
                    <w:keepNext/>
                    <w:jc w:val="center"/>
                  </w:pPr>
                  <w:r>
                    <w:t xml:space="preserve">-</w:t>
                  </w:r>
                </w:p>
              </w:tc>
              <w:tc>
                <w:tcPr>
                  <w:tcMar/>
                  <w:vAlign w:val="top"/>
                </w:tcPr>
                <w:p>
                  <w:hyperlink w:history="true" r:id="R7380877fbdb84d08">
                    <w:r>
                      <w:rPr>
                        <w:rStyle w:val="Hyperlink"/>
                      </w:rPr>
                      <w:t xml:space="preserve">Service event date</w:t>
                    </w:r>
                  </w:hyperlink>
                </w:p>
              </w:tc>
              <w:tc>
                <w:tcPr>
                  <w:vAlign w:val="top"/>
                </w:tcPr>
                <w:p>
                  <w:r>
                    <w:t xml:space="preserve">400673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aa54c750cbc4896">
                    <w:r>
                      <w:rPr>
                        <w:rStyle w:val="Hyperlink"/>
                      </w:rPr>
                      <w:t xml:space="preserve">Service delivery mode</w:t>
                    </w:r>
                  </w:hyperlink>
                </w:p>
              </w:tc>
              <w:tc>
                <w:tcPr>
                  <w:vAlign w:val="top"/>
                </w:tcPr>
                <w:p>
                  <w:r>
                    <w:t xml:space="preserve">410953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702dffc42d14464">
                    <w:r>
                      <w:rPr>
                        <w:rStyle w:val="Hyperlink"/>
                      </w:rPr>
                      <w:t xml:space="preserve">Service delivery setting</w:t>
                    </w:r>
                  </w:hyperlink>
                </w:p>
              </w:tc>
              <w:tc>
                <w:tcPr>
                  <w:vAlign w:val="top"/>
                </w:tcPr>
                <w:p>
                  <w:r>
                    <w:t xml:space="preserve">403593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6fa4d21190e14719">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766ded5b3464faf">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w:t>
                  </w:r>
                </w:p>
              </w:tc>
              <w:tc>
                <w:tcPr>
                  <w:tcMar/>
                  <w:vAlign w:val="top"/>
                </w:tcPr>
                <w:p>
                  <w:hyperlink w:history="true" r:id="R1309bacb2e194e5e">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206b6a83f74f406c">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c34642dd38a945f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dc4452cd13d4a7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b64321c94b14665">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595d9b1d9f14c2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3ea7927b92949e0">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8134efafe95d439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a5d68909e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4efafe95d439f" /><Relationship Type="http://schemas.openxmlformats.org/officeDocument/2006/relationships/header" Target="/word/header1.xml" Id="Rfdcc79375e614f25" /><Relationship Type="http://schemas.openxmlformats.org/officeDocument/2006/relationships/settings" Target="/word/settings.xml" Id="Rd568d7db00b24cc9" /><Relationship Type="http://schemas.openxmlformats.org/officeDocument/2006/relationships/styles" Target="/word/styles.xml" Id="R775685c6f8124830" /><Relationship Type="http://schemas.openxmlformats.org/officeDocument/2006/relationships/hyperlink" Target="https://meteor-uat.aihw.gov.au/content/553314" TargetMode="External" Id="Rb6e3de16371e4e0b" /><Relationship Type="http://schemas.openxmlformats.org/officeDocument/2006/relationships/hyperlink" Target="https://meteor-uat.aihw.gov.au/content/556975" TargetMode="External" Id="R5a1b460ab0124273" /><Relationship Type="http://schemas.openxmlformats.org/officeDocument/2006/relationships/hyperlink" Target="https://meteor-uat.aihw.gov.au/content/269973" TargetMode="External" Id="R3f0dccde9cdc4e87" /><Relationship Type="http://schemas.openxmlformats.org/officeDocument/2006/relationships/hyperlink" Target="https://meteor-uat.aihw.gov.au/content/548212" TargetMode="External" Id="Rfa002aa6b40d4b07" /><Relationship Type="http://schemas.openxmlformats.org/officeDocument/2006/relationships/hyperlink" Target="https://meteor-uat.aihw.gov.au/content/400662" TargetMode="External" Id="R4bfbb40abaff4270" /><Relationship Type="http://schemas.openxmlformats.org/officeDocument/2006/relationships/hyperlink" Target="https://meteor-uat.aihw.gov.au/content/548189" TargetMode="External" Id="R522f501fb96c43e5" /><Relationship Type="http://schemas.openxmlformats.org/officeDocument/2006/relationships/hyperlink" Target="https://meteor-uat.aihw.gov.au/content/400598" TargetMode="External" Id="R8fc67167e70f4af3" /><Relationship Type="http://schemas.openxmlformats.org/officeDocument/2006/relationships/hyperlink" Target="https://meteor-uat.aihw.gov.au/content/400673" TargetMode="External" Id="R7380877fbdb84d08" /><Relationship Type="http://schemas.openxmlformats.org/officeDocument/2006/relationships/hyperlink" Target="https://meteor-uat.aihw.gov.au/content/410953" TargetMode="External" Id="R0aa54c750cbc4896" /><Relationship Type="http://schemas.openxmlformats.org/officeDocument/2006/relationships/hyperlink" Target="https://meteor-uat.aihw.gov.au/content/403593" TargetMode="External" Id="R0702dffc42d14464" /><Relationship Type="http://schemas.openxmlformats.org/officeDocument/2006/relationships/hyperlink" Target="https://meteor-uat.aihw.gov.au/content/400713" TargetMode="External" Id="R6fa4d21190e14719" /><Relationship Type="http://schemas.openxmlformats.org/officeDocument/2006/relationships/hyperlink" Target="https://meteor-uat.aihw.gov.au/content/400747" TargetMode="External" Id="Rc766ded5b3464faf" /><Relationship Type="http://schemas.openxmlformats.org/officeDocument/2006/relationships/hyperlink" Target="https://meteor-uat.aihw.gov.au/content/469909" TargetMode="External" Id="R1309bacb2e194e5e" /><Relationship Type="http://schemas.openxmlformats.org/officeDocument/2006/relationships/hyperlink" Target="https://meteor-uat.aihw.gov.au/content/459973" TargetMode="External" Id="R206b6a83f74f406c" /><Relationship Type="http://schemas.openxmlformats.org/officeDocument/2006/relationships/hyperlink" Target="https://meteor-uat.aihw.gov.au/content/287007" TargetMode="External" Id="Rc34642dd38a945f9" /><Relationship Type="http://schemas.openxmlformats.org/officeDocument/2006/relationships/hyperlink" Target="https://meteor-uat.aihw.gov.au/content/291036" TargetMode="External" Id="R9dc4452cd13d4a7c" /><Relationship Type="http://schemas.openxmlformats.org/officeDocument/2006/relationships/hyperlink" Target="https://meteor-uat.aihw.gov.au/content/290046" TargetMode="External" Id="Rfb64321c94b14665" /><Relationship Type="http://schemas.openxmlformats.org/officeDocument/2006/relationships/hyperlink" Target="https://meteor-uat.aihw.gov.au/content/287316" TargetMode="External" Id="R2595d9b1d9f14c24" /><Relationship Type="http://schemas.openxmlformats.org/officeDocument/2006/relationships/hyperlink" Target="https://meteor-uat.aihw.gov.au/content/555463" TargetMode="External" Id="R23ea7927b92949e0" /></Relationships>
</file>

<file path=word/_rels/header1.xml.rels>&#65279;<?xml version="1.0" encoding="utf-8"?><Relationships xmlns="http://schemas.openxmlformats.org/package/2006/relationships"><Relationship Type="http://schemas.openxmlformats.org/officeDocument/2006/relationships/image" Target="/media/image.png" Id="Rf44a5d68909e42f4" /></Relationships>
</file>