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970dbb2f9b4bac" /></Relationships>
</file>

<file path=word/document.xml><?xml version="1.0" encoding="utf-8"?>
<w:document xmlns:r="http://schemas.openxmlformats.org/officeDocument/2006/relationships" xmlns:w="http://schemas.openxmlformats.org/wordprocessingml/2006/main">
  <w:body>
    <w:p>
      <w:pPr>
        <w:pStyle w:val="Title"/>
      </w:pPr>
      <w:r>
        <w:t>Person—extent of core activity limitation, disability flag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Person—extent of core activity limitation, disability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Derived extent of core activity limitation (disability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Derived extent of core participation restriction (disability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4461fd70174e27">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2d7c039243d84cf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person is limited in undertaking activities or participating in the core life areas of self-care, mobility and communication,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788abc1cf7450d">
              <w:r>
                <w:rPr>
                  <w:rStyle w:val="Hyperlink"/>
                </w:rPr>
                <w:t xml:space="preserve">Person—extent of core activity limitation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03fa7ec05547fb">
              <w:r>
                <w:rPr>
                  <w:rStyle w:val="Hyperlink"/>
                </w:rPr>
                <w:t xml:space="preserve">Extent of activity limitation disability flag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Profound/severe limitation or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limitation or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Mild limitation or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limitation or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Activities and Participation list in the International Classification of Functioning, Disability and Health—the list of life areas—can be viewed as either individual functioning (activities) or societal functioning (participation) (WHO 2001).</w:t>
            </w:r>
          </w:p>
          <w:p>
            <w:pPr/>
            <w:r>
              <w:rPr>
                <w:rStyle w:val="row-content-rich-text"/>
              </w:rPr>
              <w:t xml:space="preserve">Activity limitations are difficulties an individual may have in executing activities. Participation restrictions are problems an individual may experience in involvement in life situations.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2001. International classification of functioning, disability and health.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conceptually aligns with the measure of profound/severe core activity limitation in the ABS Survey of Disability, Ageing and Carers.  This survey determines levels of core activity limitation based on whether a person needs help, has difficulty, or uses aids or equipment with core activities, which are defined as communication, mobility or self-care.</w:t>
            </w:r>
          </w:p>
          <w:p>
            <w:pPr>
              <w:spacing w:after="160"/>
            </w:pPr>
            <w:r>
              <w:rPr>
                <w:rStyle w:val="row-content-rich-text"/>
              </w:rPr>
              <w:t xml:space="preserve">Derivation of this data element combines two data elements: </w:t>
            </w:r>
            <w:hyperlink w:history="true" r:id="Rc0eb12e61ca842f6">
              <w:r>
                <w:rPr>
                  <w:rStyle w:val="Hyperlink"/>
                </w:rPr>
                <w:t xml:space="preserve">Person—activity and participation life area, disability flag code N</w:t>
              </w:r>
            </w:hyperlink>
            <w:r>
              <w:rPr>
                <w:rStyle w:val="row-content-rich-text"/>
              </w:rPr>
              <w:t xml:space="preserve"> (the subset of life areas comprising self-care, mobility and communication) and </w:t>
            </w:r>
            <w:hyperlink w:history="true" r:id="R094dc9bd070d4f42">
              <w:r>
                <w:rPr>
                  <w:rStyle w:val="Hyperlink"/>
                </w:rPr>
                <w:t xml:space="preserve">Person—need for assistance with activities in a life area, disability flag code N</w:t>
              </w:r>
            </w:hyperlink>
            <w:r>
              <w:rPr>
                <w:rStyle w:val="row-content-rich-text"/>
              </w:rPr>
              <w:t xml:space="preserve">, to complete the following matrix. The values in the matrix are used for this data element to show the derivation of the extent of activity limitation below.</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650" w:type="pct"/>
                  <w:vAlign w:val="top"/>
                </w:tcPr>
                <w:p>
                  <w:pPr/>
                  <w:r>
                    <w:rPr>
                      <w:rStyle w:val="row-content-rich-text"/>
                    </w:rPr>
                    <w:t xml:space="preserve"> </w:t>
                  </w:r>
                </w:p>
              </w:tc>
              <w:tc>
                <w:tcPr>
                  <w:tcW w:w="1100" w:type="pct"/>
                  <w:vAlign w:val="top"/>
                </w:tcPr>
                <w:p>
                  <w:r>
                    <w:t xml:space="preserve">Always / sometimes need help and/or supervision</w:t>
                  </w:r>
                </w:p>
              </w:tc>
              <w:tc>
                <w:tcPr>
                  <w:tcW w:w="1200" w:type="pct"/>
                  <w:vAlign w:val="top"/>
                </w:tcPr>
                <w:p>
                  <w:r>
                    <w:t xml:space="preserve">Have difficulty, but don't need help / supervision</w:t>
                  </w:r>
                </w:p>
              </w:tc>
              <w:tc>
                <w:tcPr>
                  <w:tcW w:w="1450" w:type="pct"/>
                  <w:vAlign w:val="top"/>
                </w:tcPr>
                <w:p>
                  <w:r>
                    <w:t xml:space="preserve">Don't have difficulty, but use aids / equipment / medications</w:t>
                  </w:r>
                </w:p>
              </w:tc>
              <w:tc>
                <w:tcPr>
                  <w:tcW w:w="500" w:type="pct"/>
                  <w:vAlign w:val="top"/>
                </w:tcPr>
                <w:p>
                  <w:r>
                    <w:t xml:space="preserve">Have no difficulty</w:t>
                  </w:r>
                </w:p>
              </w:tc>
            </w:tr>
            <w:tr>
              <w:trPr/>
              <w:tc>
                <w:tcPr>
                  <w:tcW w:w="650" w:type="pct"/>
                  <w:vAlign w:val="top"/>
                </w:tcPr>
                <w:p>
                  <w:r>
                    <w:t xml:space="preserve">Self-care</w:t>
                  </w:r>
                </w:p>
              </w:tc>
              <w:tc>
                <w:tcPr>
                  <w:tcW w:w="1100" w:type="pct"/>
                  <w:vAlign w:val="top"/>
                </w:tcPr>
                <w:p>
                  <w:r>
                    <w:t xml:space="preserve">1a</w:t>
                  </w:r>
                </w:p>
              </w:tc>
              <w:tc>
                <w:tcPr>
                  <w:tcW w:w="1200" w:type="pct"/>
                  <w:vAlign w:val="top"/>
                </w:tcPr>
                <w:p>
                  <w:r>
                    <w:t xml:space="preserve">1b</w:t>
                  </w:r>
                </w:p>
              </w:tc>
              <w:tc>
                <w:tcPr>
                  <w:tcW w:w="1450" w:type="pct"/>
                  <w:vAlign w:val="top"/>
                </w:tcPr>
                <w:p>
                  <w:r>
                    <w:t xml:space="preserve">1c</w:t>
                  </w:r>
                </w:p>
              </w:tc>
              <w:tc>
                <w:tcPr>
                  <w:tcW w:w="500" w:type="pct"/>
                  <w:vAlign w:val="top"/>
                </w:tcPr>
                <w:p>
                  <w:r>
                    <w:t xml:space="preserve">1d</w:t>
                  </w:r>
                </w:p>
              </w:tc>
            </w:tr>
            <w:tr>
              <w:trPr/>
              <w:tc>
                <w:tcPr>
                  <w:tcW w:w="650" w:type="pct"/>
                  <w:vAlign w:val="top"/>
                </w:tcPr>
                <w:p>
                  <w:r>
                    <w:t xml:space="preserve">Mobility</w:t>
                  </w:r>
                </w:p>
              </w:tc>
              <w:tc>
                <w:tcPr>
                  <w:tcW w:w="1100" w:type="pct"/>
                  <w:vAlign w:val="top"/>
                </w:tcPr>
                <w:p>
                  <w:r>
                    <w:t xml:space="preserve">2a</w:t>
                  </w:r>
                </w:p>
              </w:tc>
              <w:tc>
                <w:tcPr>
                  <w:tcW w:w="1200" w:type="pct"/>
                  <w:vAlign w:val="top"/>
                </w:tcPr>
                <w:p>
                  <w:r>
                    <w:t xml:space="preserve">2b</w:t>
                  </w:r>
                </w:p>
              </w:tc>
              <w:tc>
                <w:tcPr>
                  <w:tcW w:w="1450" w:type="pct"/>
                  <w:vAlign w:val="top"/>
                </w:tcPr>
                <w:p>
                  <w:r>
                    <w:t xml:space="preserve">2c</w:t>
                  </w:r>
                </w:p>
              </w:tc>
              <w:tc>
                <w:tcPr>
                  <w:tcW w:w="500" w:type="pct"/>
                  <w:vAlign w:val="top"/>
                </w:tcPr>
                <w:p>
                  <w:r>
                    <w:t xml:space="preserve">2d</w:t>
                  </w:r>
                </w:p>
              </w:tc>
            </w:tr>
            <w:tr>
              <w:trPr/>
              <w:tc>
                <w:tcPr>
                  <w:tcW w:w="650" w:type="pct"/>
                  <w:vAlign w:val="top"/>
                </w:tcPr>
                <w:p>
                  <w:r>
                    <w:t xml:space="preserve">Communication</w:t>
                  </w:r>
                </w:p>
              </w:tc>
              <w:tc>
                <w:tcPr>
                  <w:tcW w:w="1100" w:type="pct"/>
                  <w:vAlign w:val="top"/>
                </w:tcPr>
                <w:p>
                  <w:r>
                    <w:t xml:space="preserve">3a</w:t>
                  </w:r>
                </w:p>
              </w:tc>
              <w:tc>
                <w:tcPr>
                  <w:tcW w:w="1200" w:type="pct"/>
                  <w:vAlign w:val="top"/>
                </w:tcPr>
                <w:p>
                  <w:r>
                    <w:t xml:space="preserve">3b</w:t>
                  </w:r>
                </w:p>
              </w:tc>
              <w:tc>
                <w:tcPr>
                  <w:tcW w:w="1450" w:type="pct"/>
                  <w:vAlign w:val="top"/>
                </w:tcPr>
                <w:p>
                  <w:r>
                    <w:t xml:space="preserve">3c</w:t>
                  </w:r>
                </w:p>
              </w:tc>
              <w:tc>
                <w:tcPr>
                  <w:tcW w:w="500" w:type="pct"/>
                  <w:vAlign w:val="top"/>
                </w:tcPr>
                <w:p>
                  <w:r>
                    <w:t xml:space="preserve">3d</w:t>
                  </w:r>
                </w:p>
              </w:tc>
            </w:tr>
          </w:tbl>
          <w:p>
            <w:r>
              <w:t xml:space="preserve">CODE 1</w:t>
            </w:r>
          </w:p>
          <w:p>
            <w:r>
              <w:t xml:space="preserve">Use if any of 1a to 3a</w:t>
            </w:r>
          </w:p>
          <w:p>
            <w:r>
              <w:t xml:space="preserve">CODE 2</w:t>
            </w:r>
          </w:p>
          <w:p>
            <w:r>
              <w:t xml:space="preserve">Use if none of 1a to 3a AND any of 1b to 3b.</w:t>
            </w:r>
          </w:p>
          <w:p>
            <w:r>
              <w:t xml:space="preserve">CODE 3</w:t>
            </w:r>
          </w:p>
          <w:p>
            <w:r>
              <w:t xml:space="preserve">Use if none of 1a to 3a AND none of 1b to 3b AND any of 1c to 3c.</w:t>
            </w:r>
          </w:p>
          <w:p>
            <w:r>
              <w:t xml:space="preserve">CODE 4</w:t>
            </w:r>
          </w:p>
          <w:p>
            <w:r>
              <w:t xml:space="preserve">Use if all of 1d to 3d.</w:t>
            </w:r>
          </w:p>
          <w:p>
            <w:r>
              <w:t xml:space="preserve">CODE 9</w:t>
            </w:r>
          </w:p>
          <w:p>
            <w:r>
              <w:t xml:space="preserve">Use if any rows missing and other answers only in range of 1d to 3d.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derived to identify people with core activity limitations reported in the </w:t>
            </w:r>
            <w:hyperlink w:history="true" r:id="Rabc3fc95ec9b4a16">
              <w:r>
                <w:rPr>
                  <w:rStyle w:val="Hyperlink"/>
                </w:rPr>
                <w:t xml:space="preserve">Activity and participation need for assistance cluster (Standardised Disability Flag)</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(World Health Organization) 2001. International classification of functioning, disability and health. Geneva: WHO.</w:t>
            </w:r>
          </w:p>
          <w:p>
            <w:pPr/>
            <w:r>
              <w:rPr>
                <w:rStyle w:val="row-content-rich-text"/>
              </w:rPr>
              <w:t xml:space="preserve">ABS (Australian Bureau of Statistics) 2010. Disability, Ageing and Carers, Australia: Summary of Findings, 2009. ABS Cat. No. 4430.0. Viewed September 2013, &lt;</w:t>
            </w:r>
            <w:hyperlink w:history="true" r:id="R3b39f7cbb0054ae9">
              <w:r>
                <w:rPr>
                  <w:rStyle w:val="Hyperlink"/>
                </w:rPr>
                <w:t xml:space="preserve">http://www.abs.gov.au/AUSSTATS/abs@.nsf/Latestproducts/4430.0Glossary12009?opendocument&amp;tabname=Notes&amp;prodno=4430.0&amp;issue=2009&amp;num=&amp;view</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d86c8cc96c5547bf">
              <w:r>
                <w:rPr>
                  <w:rStyle w:val="Hyperlink"/>
                </w:rPr>
                <w:t xml:space="preserve">Person—activity and participation life area, disability flag code N</w:t>
              </w:r>
            </w:hyperlink>
          </w:p>
          <w:p>
            <w:pPr>
              <w:pStyle w:val="registration-status"/>
              <w:spacing w:before="0" w:after="0"/>
            </w:pPr>
            <w:hyperlink w:history="true" r:id="R10e081669d9e491f">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ec637bc621514f0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1e7a459a2d24b3f">
              <w:r>
                <w:rPr>
                  <w:rStyle w:val="Hyperlink"/>
                  <w:color w:val="244061"/>
                </w:rPr>
                <w:t xml:space="preserve">Health!</w:t>
              </w:r>
            </w:hyperlink>
            <w:r>
              <w:rPr>
                <w:rStyle w:val="row-content"/>
                <w:color w:val="244061"/>
              </w:rPr>
              <w:t xml:space="preserve">, Standard 28/04/2016</w:t>
            </w:r>
          </w:p>
          <w:p>
            <w:r>
              <w:br/>
            </w:r>
            <w:r>
              <w:rPr>
                <w:rStyle w:val="row-content"/>
              </w:rPr>
              <w:t xml:space="preserve">Is formed using </w:t>
            </w:r>
            <w:hyperlink w:history="true" r:id="R436b484072844d9f">
              <w:r>
                <w:rPr>
                  <w:rStyle w:val="Hyperlink"/>
                </w:rPr>
                <w:t xml:space="preserve">Person—need for assistance with activities in a life area, disability flag code N</w:t>
              </w:r>
            </w:hyperlink>
          </w:p>
          <w:p>
            <w:pPr>
              <w:pStyle w:val="registration-status"/>
              <w:spacing w:before="0" w:after="0"/>
            </w:pPr>
            <w:hyperlink w:history="true" r:id="R60410bde0403408d">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dbd71827c1c8402f">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abc99f97e149a8">
              <w:r>
                <w:rPr>
                  <w:rStyle w:val="Hyperlink"/>
                </w:rPr>
                <w:t xml:space="preserve">Standardised disability flag module</w:t>
              </w:r>
            </w:hyperlink>
          </w:p>
          <w:p>
            <w:pPr>
              <w:pStyle w:val="registration-status"/>
              <w:spacing w:before="0" w:after="0"/>
            </w:pPr>
            <w:hyperlink w:history="true" r:id="R41576790a2254038">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d0a5a7ece8b8419a">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9c9e654d402497d">
              <w:r>
                <w:rPr>
                  <w:rStyle w:val="Hyperlink"/>
                </w:rPr>
                <w:t xml:space="preserve">Australian Health Performance Framework: PI 3.2.1–Severe or profound core activity limitation, 2019</w:t>
              </w:r>
            </w:hyperlink>
          </w:p>
          <w:p>
            <w:pPr>
              <w:pStyle w:val="registration-status"/>
              <w:spacing w:before="0" w:after="0"/>
            </w:pPr>
            <w:hyperlink w:history="true" r:id="R9a477cf970414b29">
              <w:r>
                <w:rPr>
                  <w:rStyle w:val="Hyperlink"/>
                  <w:color w:val="244061"/>
                </w:rPr>
                <w:t xml:space="preserve">Health!</w:t>
              </w:r>
            </w:hyperlink>
            <w:r>
              <w:rPr>
                <w:rStyle w:val="row-content"/>
                <w:color w:val="244061"/>
              </w:rPr>
              <w:t xml:space="preserve">, Standard 09/04/2020</w:t>
            </w:r>
          </w:p>
          <w:p>
            <w:r>
              <w:br/>
            </w:r>
            <w:r>
              <w:rPr>
                <w:rStyle w:val="row-content"/>
                <w:b/>
              </w:rPr>
              <w:t xml:space="preserve">Used as Denominator</w:t>
            </w:r>
            <w:r>
              <w:br/>
            </w:r>
            <w:hyperlink w:history="true" r:id="R21aaa5d753764408">
              <w:r>
                <w:rPr>
                  <w:rStyle w:val="Hyperlink"/>
                </w:rPr>
                <w:t xml:space="preserve">National Disability Agreement: d(1)-Proportion of the potential population who used State/Territory delivered disability support services, 2013</w:t>
              </w:r>
            </w:hyperlink>
          </w:p>
          <w:p>
            <w:pPr>
              <w:pStyle w:val="registration-status"/>
              <w:spacing w:before="0" w:after="0"/>
            </w:pPr>
            <w:hyperlink w:history="true" r:id="R0d7c74e83f364114">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d2c610a602714a41">
              <w:r>
                <w:rPr>
                  <w:rStyle w:val="Hyperlink"/>
                  <w:color w:val="244061"/>
                </w:rPr>
                <w:t xml:space="preserve">Disability</w:t>
              </w:r>
            </w:hyperlink>
            <w:r>
              <w:rPr>
                <w:rStyle w:val="row-content"/>
                <w:color w:val="244061"/>
              </w:rPr>
              <w:t xml:space="preserve">, Standard 13/08/2015</w:t>
            </w:r>
          </w:p>
          <w:p>
            <w:r>
              <w:br/>
            </w:r>
            <w:hyperlink w:history="true" r:id="Rf1204dd27c3c4d88">
              <w:r>
                <w:rPr>
                  <w:rStyle w:val="Hyperlink"/>
                </w:rPr>
                <w:t xml:space="preserve">National Disability Agreement: d(1)-Proportion of the potential population who used State/Territory delivered disability support services, 2013</w:t>
              </w:r>
            </w:hyperlink>
          </w:p>
          <w:p>
            <w:pPr>
              <w:pStyle w:val="registration-status"/>
              <w:spacing w:before="0" w:after="0"/>
            </w:pPr>
            <w:hyperlink w:history="true" r:id="Rfdfdf6809c6f4ec6">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52796f1c01e94e76">
              <w:r>
                <w:rPr>
                  <w:rStyle w:val="Hyperlink"/>
                  <w:color w:val="244061"/>
                </w:rPr>
                <w:t xml:space="preserve">Disability</w:t>
              </w:r>
            </w:hyperlink>
            <w:r>
              <w:rPr>
                <w:rStyle w:val="row-content"/>
                <w:color w:val="244061"/>
              </w:rPr>
              <w:t xml:space="preserve">, Standard 13/08/2015</w:t>
            </w:r>
          </w:p>
          <w:p>
            <w:r>
              <w:br/>
            </w:r>
            <w:hyperlink w:history="true" r:id="R37e82791c80c40e2">
              <w:r>
                <w:rPr>
                  <w:rStyle w:val="Hyperlink"/>
                </w:rPr>
                <w:t xml:space="preserve">National Disability Agreement: d(2)-Proportion of people with a disability with an employment restriction who used Disability Employment Services (Open Employment), 2013</w:t>
              </w:r>
            </w:hyperlink>
          </w:p>
          <w:p>
            <w:pPr>
              <w:pStyle w:val="registration-status"/>
              <w:spacing w:before="0" w:after="0"/>
            </w:pPr>
            <w:hyperlink w:history="true" r:id="Rd787ab10fb9e47d9">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a2806df48a43403c">
              <w:r>
                <w:rPr>
                  <w:rStyle w:val="Hyperlink"/>
                  <w:color w:val="244061"/>
                </w:rPr>
                <w:t xml:space="preserve">Disability</w:t>
              </w:r>
            </w:hyperlink>
            <w:r>
              <w:rPr>
                <w:rStyle w:val="row-content"/>
                <w:color w:val="244061"/>
              </w:rPr>
              <w:t xml:space="preserve">, Standard 13/08/2015</w:t>
            </w:r>
          </w:p>
          <w:p>
            <w:r>
              <w:br/>
            </w:r>
            <w:hyperlink w:history="true" r:id="R4ad088b484074f26">
              <w:r>
                <w:rPr>
                  <w:rStyle w:val="Hyperlink"/>
                </w:rPr>
                <w:t xml:space="preserve">National Disability Agreement: d(3)-Proportion of the potential population who used Australian Disability Enterprises (Supported Employment), 2013</w:t>
              </w:r>
            </w:hyperlink>
          </w:p>
          <w:p>
            <w:pPr>
              <w:pStyle w:val="registration-status"/>
              <w:spacing w:before="0" w:after="0"/>
            </w:pPr>
            <w:hyperlink w:history="true" r:id="R5959001b504d442f">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767246acac4f4950">
              <w:r>
                <w:rPr>
                  <w:rStyle w:val="Hyperlink"/>
                  <w:color w:val="244061"/>
                </w:rPr>
                <w:t xml:space="preserve">Disability</w:t>
              </w:r>
            </w:hyperlink>
            <w:r>
              <w:rPr>
                <w:rStyle w:val="row-content"/>
                <w:color w:val="244061"/>
              </w:rPr>
              <w:t xml:space="preserve">, Standard 13/08/2015</w:t>
            </w:r>
          </w:p>
          <w:p>
            <w:r>
              <w:br/>
            </w:r>
            <w:hyperlink w:history="true" r:id="Rd3e542e0514c43f0">
              <w:r>
                <w:rPr>
                  <w:rStyle w:val="Hyperlink"/>
                </w:rPr>
                <w:t xml:space="preserve">National Disability Agreement: d(3)-Proportion of the potential population who used Australian Disability Enterprises (Supported Employment), 2013</w:t>
              </w:r>
            </w:hyperlink>
          </w:p>
          <w:p>
            <w:pPr>
              <w:pStyle w:val="registration-status"/>
              <w:spacing w:before="0" w:after="0"/>
            </w:pPr>
            <w:hyperlink w:history="true" r:id="Rfd0bb8c8c25f47e9">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93f7b44f097a4a38">
              <w:r>
                <w:rPr>
                  <w:rStyle w:val="Hyperlink"/>
                  <w:color w:val="244061"/>
                </w:rPr>
                <w:t xml:space="preserve">Disability</w:t>
              </w:r>
            </w:hyperlink>
            <w:r>
              <w:rPr>
                <w:rStyle w:val="row-content"/>
                <w:color w:val="244061"/>
              </w:rPr>
              <w:t xml:space="preserve">, Standard 13/08/2015</w:t>
            </w:r>
          </w:p>
          <w:p>
            <w:r>
              <w:br/>
            </w:r>
            <w:hyperlink w:history="true" r:id="R1ab24c738511450b">
              <w:r>
                <w:rPr>
                  <w:rStyle w:val="Hyperlink"/>
                </w:rPr>
                <w:t xml:space="preserve">National Disability Agreement: e(1)-Proportion of the potential population of people with disability who report a need for more formal assistance, 2013</w:t>
              </w:r>
            </w:hyperlink>
          </w:p>
          <w:p>
            <w:pPr>
              <w:pStyle w:val="registration-status"/>
              <w:spacing w:before="0" w:after="0"/>
            </w:pPr>
            <w:hyperlink w:history="true" r:id="R3eceb7f3ec3b4a5c">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a49d29b7721d4cf0">
              <w:r>
                <w:rPr>
                  <w:rStyle w:val="Hyperlink"/>
                  <w:color w:val="244061"/>
                </w:rPr>
                <w:t xml:space="preserve">Disability</w:t>
              </w:r>
            </w:hyperlink>
            <w:r>
              <w:rPr>
                <w:rStyle w:val="row-content"/>
                <w:color w:val="244061"/>
              </w:rPr>
              <w:t xml:space="preserve">, Standard 13/08/2015</w:t>
            </w:r>
          </w:p>
          <w:p>
            <w:r>
              <w:br/>
            </w:r>
            <w:hyperlink w:history="true" r:id="R188b753e5d694723">
              <w:r>
                <w:rPr>
                  <w:rStyle w:val="Hyperlink"/>
                </w:rPr>
                <w:t xml:space="preserve">National Disability Agreement: f(1)-Rate of non-Indigenous persons and Indigenous persons admitted to permanent residential aged care, 2013</w:t>
              </w:r>
            </w:hyperlink>
          </w:p>
          <w:p>
            <w:pPr>
              <w:pStyle w:val="registration-status"/>
              <w:spacing w:before="0" w:after="0"/>
            </w:pPr>
            <w:hyperlink w:history="true" r:id="R09e4bad5e5a64d84">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52b27e141da4b30">
              <w:r>
                <w:rPr>
                  <w:rStyle w:val="Hyperlink"/>
                  <w:color w:val="244061"/>
                </w:rPr>
                <w:t xml:space="preserve">Disability</w:t>
              </w:r>
            </w:hyperlink>
            <w:r>
              <w:rPr>
                <w:rStyle w:val="row-content"/>
                <w:color w:val="244061"/>
              </w:rPr>
              <w:t xml:space="preserve">, Standard 13/08/2015</w:t>
            </w:r>
          </w:p>
          <w:p>
            <w:r>
              <w:br/>
            </w:r>
            <w:hyperlink w:history="true" r:id="R2dc9063f13d64817">
              <w:r>
                <w:rPr>
                  <w:rStyle w:val="Hyperlink"/>
                </w:rPr>
                <w:t xml:space="preserve">National Disability Agreement: f(1)-Rate of non-Indigenous persons and Indigenous persons admitted to permanent residential aged care, 2013</w:t>
              </w:r>
            </w:hyperlink>
          </w:p>
          <w:p>
            <w:pPr>
              <w:pStyle w:val="registration-status"/>
              <w:spacing w:before="0" w:after="0"/>
            </w:pPr>
            <w:hyperlink w:history="true" r:id="Rf1f58691e65d43e8">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2a7e72cf546c4781">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220d0d70d8a54f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541585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3064bc369b46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0d0d70d8a54f0a" /><Relationship Type="http://schemas.openxmlformats.org/officeDocument/2006/relationships/header" Target="/word/header1.xml" Id="Ref430cd208ba47f6" /><Relationship Type="http://schemas.openxmlformats.org/officeDocument/2006/relationships/settings" Target="/word/settings.xml" Id="R7cf3f7f5762d402a" /><Relationship Type="http://schemas.openxmlformats.org/officeDocument/2006/relationships/styles" Target="/word/styles.xml" Id="Rfeb28208b1a34f7d" /><Relationship Type="http://schemas.openxmlformats.org/officeDocument/2006/relationships/hyperlink" Target="https://meteor-uat.aihw.gov.au/RegistrationAuthority/3" TargetMode="External" Id="R3a4461fd70174e27" /><Relationship Type="http://schemas.openxmlformats.org/officeDocument/2006/relationships/hyperlink" Target="https://meteor-uat.aihw.gov.au/RegistrationAuthority/18" TargetMode="External" Id="R2d7c039243d84cf3" /><Relationship Type="http://schemas.openxmlformats.org/officeDocument/2006/relationships/hyperlink" Target="https://meteor-uat.aihw.gov.au/content/541572" TargetMode="External" Id="R0c788abc1cf7450d" /><Relationship Type="http://schemas.openxmlformats.org/officeDocument/2006/relationships/hyperlink" Target="https://meteor-uat.aihw.gov.au/content/506005" TargetMode="External" Id="R5a03fa7ec05547fb" /><Relationship Type="http://schemas.openxmlformats.org/officeDocument/2006/relationships/hyperlink" Target="https://meteor-uat.aihw.gov.au/content/505720" TargetMode="External" Id="Rc0eb12e61ca842f6" /><Relationship Type="http://schemas.openxmlformats.org/officeDocument/2006/relationships/hyperlink" Target="https://meteor-uat.aihw.gov.au/content/520803" TargetMode="External" Id="R094dc9bd070d4f42" /><Relationship Type="http://schemas.openxmlformats.org/officeDocument/2006/relationships/hyperlink" Target="https://meteor-uat.aihw.gov.au/content/505770" TargetMode="External" Id="Rabc3fc95ec9b4a16" /><Relationship Type="http://schemas.openxmlformats.org/officeDocument/2006/relationships/hyperlink" Target="http://www.abs.gov.au/AUSSTATS/abs@.nsf/Latestproducts/4430.0Glossary12009?opendocument&amp;tabname=Notes&amp;prodno=4430.0&amp;issue=2009&amp;num=&amp;view" TargetMode="External" Id="R3b39f7cbb0054ae9" /><Relationship Type="http://schemas.openxmlformats.org/officeDocument/2006/relationships/hyperlink" Target="https://meteor-uat.aihw.gov.au/content/505720" TargetMode="External" Id="Rd86c8cc96c5547bf" /><Relationship Type="http://schemas.openxmlformats.org/officeDocument/2006/relationships/hyperlink" Target="https://meteor-uat.aihw.gov.au/RegistrationAuthority/3" TargetMode="External" Id="R10e081669d9e491f" /><Relationship Type="http://schemas.openxmlformats.org/officeDocument/2006/relationships/hyperlink" Target="https://meteor-uat.aihw.gov.au/RegistrationAuthority/18" TargetMode="External" Id="Rec637bc621514f09" /><Relationship Type="http://schemas.openxmlformats.org/officeDocument/2006/relationships/hyperlink" Target="https://meteor-uat.aihw.gov.au/RegistrationAuthority/14" TargetMode="External" Id="R11e7a459a2d24b3f" /><Relationship Type="http://schemas.openxmlformats.org/officeDocument/2006/relationships/hyperlink" Target="https://meteor-uat.aihw.gov.au/content/520803" TargetMode="External" Id="R436b484072844d9f" /><Relationship Type="http://schemas.openxmlformats.org/officeDocument/2006/relationships/hyperlink" Target="https://meteor-uat.aihw.gov.au/RegistrationAuthority/3" TargetMode="External" Id="R60410bde0403408d" /><Relationship Type="http://schemas.openxmlformats.org/officeDocument/2006/relationships/hyperlink" Target="https://meteor-uat.aihw.gov.au/RegistrationAuthority/18" TargetMode="External" Id="Rdbd71827c1c8402f" /><Relationship Type="http://schemas.openxmlformats.org/officeDocument/2006/relationships/hyperlink" Target="https://meteor-uat.aihw.gov.au/content/521050" TargetMode="External" Id="Ra9abc99f97e149a8" /><Relationship Type="http://schemas.openxmlformats.org/officeDocument/2006/relationships/hyperlink" Target="https://meteor-uat.aihw.gov.au/RegistrationAuthority/3" TargetMode="External" Id="R41576790a2254038" /><Relationship Type="http://schemas.openxmlformats.org/officeDocument/2006/relationships/hyperlink" Target="https://meteor-uat.aihw.gov.au/RegistrationAuthority/18" TargetMode="External" Id="Rd0a5a7ece8b8419a" /><Relationship Type="http://schemas.openxmlformats.org/officeDocument/2006/relationships/hyperlink" Target="https://meteor-uat.aihw.gov.au/content/716029" TargetMode="External" Id="R19c9e654d402497d" /><Relationship Type="http://schemas.openxmlformats.org/officeDocument/2006/relationships/hyperlink" Target="https://meteor-uat.aihw.gov.au/RegistrationAuthority/14" TargetMode="External" Id="R9a477cf970414b29" /><Relationship Type="http://schemas.openxmlformats.org/officeDocument/2006/relationships/hyperlink" Target="https://meteor-uat.aihw.gov.au/content/491941" TargetMode="External" Id="R21aaa5d753764408" /><Relationship Type="http://schemas.openxmlformats.org/officeDocument/2006/relationships/hyperlink" Target="https://meteor-uat.aihw.gov.au/RegistrationAuthority/3" TargetMode="External" Id="R0d7c74e83f364114" /><Relationship Type="http://schemas.openxmlformats.org/officeDocument/2006/relationships/hyperlink" Target="https://meteor-uat.aihw.gov.au/RegistrationAuthority/18" TargetMode="External" Id="Rd2c610a602714a41" /><Relationship Type="http://schemas.openxmlformats.org/officeDocument/2006/relationships/hyperlink" Target="https://meteor-uat.aihw.gov.au/content/491941" TargetMode="External" Id="Rf1204dd27c3c4d88" /><Relationship Type="http://schemas.openxmlformats.org/officeDocument/2006/relationships/hyperlink" Target="https://meteor-uat.aihw.gov.au/RegistrationAuthority/3" TargetMode="External" Id="Rfdfdf6809c6f4ec6" /><Relationship Type="http://schemas.openxmlformats.org/officeDocument/2006/relationships/hyperlink" Target="https://meteor-uat.aihw.gov.au/RegistrationAuthority/18" TargetMode="External" Id="R52796f1c01e94e76" /><Relationship Type="http://schemas.openxmlformats.org/officeDocument/2006/relationships/hyperlink" Target="https://meteor-uat.aihw.gov.au/content/515199" TargetMode="External" Id="R37e82791c80c40e2" /><Relationship Type="http://schemas.openxmlformats.org/officeDocument/2006/relationships/hyperlink" Target="https://meteor-uat.aihw.gov.au/RegistrationAuthority/3" TargetMode="External" Id="Rd787ab10fb9e47d9" /><Relationship Type="http://schemas.openxmlformats.org/officeDocument/2006/relationships/hyperlink" Target="https://meteor-uat.aihw.gov.au/RegistrationAuthority/18" TargetMode="External" Id="Ra2806df48a43403c" /><Relationship Type="http://schemas.openxmlformats.org/officeDocument/2006/relationships/hyperlink" Target="https://meteor-uat.aihw.gov.au/content/517326" TargetMode="External" Id="R4ad088b484074f26" /><Relationship Type="http://schemas.openxmlformats.org/officeDocument/2006/relationships/hyperlink" Target="https://meteor-uat.aihw.gov.au/RegistrationAuthority/3" TargetMode="External" Id="R5959001b504d442f" /><Relationship Type="http://schemas.openxmlformats.org/officeDocument/2006/relationships/hyperlink" Target="https://meteor-uat.aihw.gov.au/RegistrationAuthority/18" TargetMode="External" Id="R767246acac4f4950" /><Relationship Type="http://schemas.openxmlformats.org/officeDocument/2006/relationships/hyperlink" Target="https://meteor-uat.aihw.gov.au/content/517326" TargetMode="External" Id="Rd3e542e0514c43f0" /><Relationship Type="http://schemas.openxmlformats.org/officeDocument/2006/relationships/hyperlink" Target="https://meteor-uat.aihw.gov.au/RegistrationAuthority/3" TargetMode="External" Id="Rfd0bb8c8c25f47e9" /><Relationship Type="http://schemas.openxmlformats.org/officeDocument/2006/relationships/hyperlink" Target="https://meteor-uat.aihw.gov.au/RegistrationAuthority/18" TargetMode="External" Id="R93f7b44f097a4a38" /><Relationship Type="http://schemas.openxmlformats.org/officeDocument/2006/relationships/hyperlink" Target="https://meteor-uat.aihw.gov.au/content/491943" TargetMode="External" Id="R1ab24c738511450b" /><Relationship Type="http://schemas.openxmlformats.org/officeDocument/2006/relationships/hyperlink" Target="https://meteor-uat.aihw.gov.au/RegistrationAuthority/3" TargetMode="External" Id="R3eceb7f3ec3b4a5c" /><Relationship Type="http://schemas.openxmlformats.org/officeDocument/2006/relationships/hyperlink" Target="https://meteor-uat.aihw.gov.au/RegistrationAuthority/18" TargetMode="External" Id="Ra49d29b7721d4cf0" /><Relationship Type="http://schemas.openxmlformats.org/officeDocument/2006/relationships/hyperlink" Target="https://meteor-uat.aihw.gov.au/content/491949" TargetMode="External" Id="R188b753e5d694723" /><Relationship Type="http://schemas.openxmlformats.org/officeDocument/2006/relationships/hyperlink" Target="https://meteor-uat.aihw.gov.au/RegistrationAuthority/3" TargetMode="External" Id="R09e4bad5e5a64d84" /><Relationship Type="http://schemas.openxmlformats.org/officeDocument/2006/relationships/hyperlink" Target="https://meteor-uat.aihw.gov.au/RegistrationAuthority/18" TargetMode="External" Id="Re52b27e141da4b30" /><Relationship Type="http://schemas.openxmlformats.org/officeDocument/2006/relationships/hyperlink" Target="https://meteor-uat.aihw.gov.au/content/491949" TargetMode="External" Id="R2dc9063f13d64817" /><Relationship Type="http://schemas.openxmlformats.org/officeDocument/2006/relationships/hyperlink" Target="https://meteor-uat.aihw.gov.au/RegistrationAuthority/3" TargetMode="External" Id="Rf1f58691e65d43e8" /><Relationship Type="http://schemas.openxmlformats.org/officeDocument/2006/relationships/hyperlink" Target="https://meteor-uat.aihw.gov.au/RegistrationAuthority/18" TargetMode="External" Id="R2a7e72cf546c4781" /></Relationships>
</file>

<file path=word/_rels/header1.xml.rels>&#65279;<?xml version="1.0" encoding="utf-8"?><Relationships xmlns="http://schemas.openxmlformats.org/package/2006/relationships"><Relationship Type="http://schemas.openxmlformats.org/officeDocument/2006/relationships/image" Target="/media/image.png" Id="R513064bc369b4687" /></Relationships>
</file>