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6d6442e4274def" /></Relationships>
</file>

<file path=word/document.xml><?xml version="1.0" encoding="utf-8"?>
<w:document xmlns:r="http://schemas.openxmlformats.org/officeDocument/2006/relationships" xmlns:w="http://schemas.openxmlformats.org/wordprocessingml/2006/main">
  <w:body>
    <w:p>
      <w:pPr>
        <w:pStyle w:val="Title"/>
      </w:pPr>
      <w:r>
        <w:t>Person—activity limitation, disability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limitation,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Derived activity limitation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Derived participation restriction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a8ca9b2fe848e4">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f076a00e32174bc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limited in undertaking activities or participating in life areas,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used to identify people with disabilities or long term health conditions who experience difficulties and/or need assistance in various areas of their life, and demarcate them from people without such limitations or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f7a8ed30b649b2">
              <w:r>
                <w:rPr>
                  <w:rStyle w:val="Hyperlink"/>
                </w:rPr>
                <w:t xml:space="preserve">Person—activity limitation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3b3129a48d46d5">
              <w:r>
                <w:rPr>
                  <w:rStyle w:val="Hyperlink"/>
                </w:rPr>
                <w:t xml:space="preserve">Activity limitation disability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Has activity limitation or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Does not have activity limitation or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Derivation of this data element combines two data elements: Person—activity and participation life area, disability flag code N and Person—need for assistance with activities in a life area, disability flag code N, to complete the following matrix. The values in the matrix are used for this data element to show the derivation of the extent of activity limitation below.</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050" w:type="pct"/>
                  <w:vAlign w:val="top"/>
                </w:tcPr>
                <w:p>
                  <w:pPr/>
                  <w:r>
                    <w:rPr>
                      <w:rStyle w:val="row-content-rich-text"/>
                    </w:rPr>
                    <w:t xml:space="preserve"> </w:t>
                  </w:r>
                  <w:r>
                    <w:rPr>
                      <w:rStyle w:val="row-content-rich-text"/>
                    </w:rPr>
                    <w:t xml:space="preserve"> </w:t>
                  </w:r>
                </w:p>
              </w:tc>
              <w:tc>
                <w:tcPr>
                  <w:tcW w:w="750" w:type="pct"/>
                  <w:vAlign w:val="top"/>
                </w:tcPr>
                <w:p>
                  <w:r>
                    <w:t xml:space="preserve">Always/</w:t>
                  </w:r>
                  <w:r>
                    <w:br/>
                  </w:r>
                  <w:r>
                    <w:t xml:space="preserve">sometimes need help and/</w:t>
                  </w:r>
                  <w:r>
                    <w:br/>
                  </w:r>
                  <w:r>
                    <w:t xml:space="preserve">or supervision</w:t>
                  </w:r>
                </w:p>
              </w:tc>
              <w:tc>
                <w:tcPr>
                  <w:tcW w:w="750" w:type="pct"/>
                  <w:vAlign w:val="top"/>
                </w:tcPr>
                <w:p>
                  <w:r>
                    <w:t xml:space="preserve">Have difficulty, but don't need</w:t>
                  </w:r>
                  <w:r>
                    <w:br/>
                  </w:r>
                  <w:r>
                    <w:t xml:space="preserve">help/supervision</w:t>
                  </w:r>
                </w:p>
              </w:tc>
              <w:tc>
                <w:tcPr>
                  <w:tcW w:w="900" w:type="pct"/>
                  <w:vAlign w:val="top"/>
                </w:tcPr>
                <w:p>
                  <w:r>
                    <w:t xml:space="preserve">Don't have difficulty,</w:t>
                  </w:r>
                  <w:r>
                    <w:br/>
                  </w:r>
                  <w:r>
                    <w:t xml:space="preserve">but use aids/</w:t>
                  </w:r>
                  <w:r>
                    <w:br/>
                  </w:r>
                  <w:r>
                    <w:t xml:space="preserve">equipment/</w:t>
                  </w:r>
                  <w:r>
                    <w:br/>
                  </w:r>
                  <w:r>
                    <w:t xml:space="preserve">medications</w:t>
                  </w:r>
                </w:p>
              </w:tc>
              <w:tc>
                <w:tcPr>
                  <w:tcW w:w="400" w:type="pct"/>
                  <w:vAlign w:val="top"/>
                </w:tcPr>
                <w:p>
                  <w:r>
                    <w:t xml:space="preserve">Have no difficulty</w:t>
                  </w:r>
                </w:p>
              </w:tc>
            </w:tr>
            <w:tr>
              <w:trPr/>
              <w:tc>
                <w:tcPr>
                  <w:tcW w:w="2050" w:type="pct"/>
                  <w:vAlign w:val="top"/>
                </w:tcPr>
                <w:p>
                  <w:r>
                    <w:t xml:space="preserve">Self-care</w:t>
                  </w:r>
                </w:p>
              </w:tc>
              <w:tc>
                <w:tcPr>
                  <w:tcW w:w="750" w:type="pct"/>
                  <w:vAlign w:val="top"/>
                </w:tcPr>
                <w:p>
                  <w:r>
                    <w:t xml:space="preserve">1a</w:t>
                  </w:r>
                </w:p>
              </w:tc>
              <w:tc>
                <w:tcPr>
                  <w:tcW w:w="750" w:type="pct"/>
                  <w:vAlign w:val="top"/>
                </w:tcPr>
                <w:p>
                  <w:r>
                    <w:t xml:space="preserve">1b</w:t>
                  </w:r>
                </w:p>
              </w:tc>
              <w:tc>
                <w:tcPr>
                  <w:tcW w:w="900" w:type="pct"/>
                  <w:vAlign w:val="top"/>
                </w:tcPr>
                <w:p>
                  <w:r>
                    <w:t xml:space="preserve">1c</w:t>
                  </w:r>
                </w:p>
              </w:tc>
              <w:tc>
                <w:tcPr>
                  <w:tcW w:w="400" w:type="pct"/>
                  <w:vAlign w:val="top"/>
                </w:tcPr>
                <w:p>
                  <w:r>
                    <w:t xml:space="preserve">1d</w:t>
                  </w:r>
                </w:p>
              </w:tc>
            </w:tr>
            <w:tr>
              <w:trPr/>
              <w:tc>
                <w:tcPr>
                  <w:tcW w:w="2050" w:type="pct"/>
                  <w:vAlign w:val="top"/>
                </w:tcPr>
                <w:p>
                  <w:r>
                    <w:t xml:space="preserve">Mobility</w:t>
                  </w:r>
                </w:p>
              </w:tc>
              <w:tc>
                <w:tcPr>
                  <w:tcW w:w="750" w:type="pct"/>
                  <w:vAlign w:val="top"/>
                </w:tcPr>
                <w:p>
                  <w:r>
                    <w:t xml:space="preserve">2a</w:t>
                  </w:r>
                </w:p>
              </w:tc>
              <w:tc>
                <w:tcPr>
                  <w:tcW w:w="750" w:type="pct"/>
                  <w:vAlign w:val="top"/>
                </w:tcPr>
                <w:p>
                  <w:r>
                    <w:t xml:space="preserve">2b</w:t>
                  </w:r>
                </w:p>
              </w:tc>
              <w:tc>
                <w:tcPr>
                  <w:tcW w:w="900" w:type="pct"/>
                  <w:vAlign w:val="top"/>
                </w:tcPr>
                <w:p>
                  <w:r>
                    <w:t xml:space="preserve">2c</w:t>
                  </w:r>
                </w:p>
              </w:tc>
              <w:tc>
                <w:tcPr>
                  <w:tcW w:w="400" w:type="pct"/>
                  <w:vAlign w:val="top"/>
                </w:tcPr>
                <w:p>
                  <w:r>
                    <w:t xml:space="preserve">2d</w:t>
                  </w:r>
                </w:p>
              </w:tc>
            </w:tr>
            <w:tr>
              <w:trPr/>
              <w:tc>
                <w:tcPr>
                  <w:tcW w:w="2050" w:type="pct"/>
                  <w:vAlign w:val="top"/>
                </w:tcPr>
                <w:p>
                  <w:r>
                    <w:t xml:space="preserve">Communication</w:t>
                  </w:r>
                </w:p>
              </w:tc>
              <w:tc>
                <w:tcPr>
                  <w:tcW w:w="750" w:type="pct"/>
                  <w:vAlign w:val="top"/>
                </w:tcPr>
                <w:p>
                  <w:r>
                    <w:t xml:space="preserve">3a</w:t>
                  </w:r>
                </w:p>
              </w:tc>
              <w:tc>
                <w:tcPr>
                  <w:tcW w:w="750" w:type="pct"/>
                  <w:vAlign w:val="top"/>
                </w:tcPr>
                <w:p>
                  <w:r>
                    <w:t xml:space="preserve">3b</w:t>
                  </w:r>
                </w:p>
              </w:tc>
              <w:tc>
                <w:tcPr>
                  <w:tcW w:w="900" w:type="pct"/>
                  <w:vAlign w:val="top"/>
                </w:tcPr>
                <w:p>
                  <w:r>
                    <w:t xml:space="preserve">3c</w:t>
                  </w:r>
                </w:p>
              </w:tc>
              <w:tc>
                <w:tcPr>
                  <w:tcW w:w="400" w:type="pct"/>
                  <w:vAlign w:val="top"/>
                </w:tcPr>
                <w:p>
                  <w:r>
                    <w:t xml:space="preserve">3d</w:t>
                  </w:r>
                </w:p>
              </w:tc>
            </w:tr>
            <w:tr>
              <w:trPr/>
              <w:tc>
                <w:tcPr>
                  <w:tcW w:w="2050" w:type="pct"/>
                  <w:vAlign w:val="top"/>
                </w:tcPr>
                <w:p>
                  <w:r>
                    <w:t xml:space="preserve">Learning, applying knowledge</w:t>
                  </w:r>
                </w:p>
              </w:tc>
              <w:tc>
                <w:tcPr>
                  <w:tcW w:w="750" w:type="pct"/>
                  <w:vAlign w:val="top"/>
                </w:tcPr>
                <w:p>
                  <w:r>
                    <w:t xml:space="preserve">4a</w:t>
                  </w:r>
                </w:p>
              </w:tc>
              <w:tc>
                <w:tcPr>
                  <w:tcW w:w="750" w:type="pct"/>
                  <w:vAlign w:val="top"/>
                </w:tcPr>
                <w:p>
                  <w:r>
                    <w:t xml:space="preserve">4b</w:t>
                  </w:r>
                </w:p>
              </w:tc>
              <w:tc>
                <w:tcPr>
                  <w:tcW w:w="900" w:type="pct"/>
                  <w:vAlign w:val="top"/>
                </w:tcPr>
                <w:p>
                  <w:r>
                    <w:t xml:space="preserve">4c</w:t>
                  </w:r>
                </w:p>
              </w:tc>
              <w:tc>
                <w:tcPr>
                  <w:tcW w:w="400" w:type="pct"/>
                  <w:vAlign w:val="top"/>
                </w:tcPr>
                <w:p>
                  <w:r>
                    <w:t xml:space="preserve">4d</w:t>
                  </w:r>
                </w:p>
              </w:tc>
            </w:tr>
            <w:tr>
              <w:trPr/>
              <w:tc>
                <w:tcPr>
                  <w:tcW w:w="2050" w:type="pct"/>
                  <w:vAlign w:val="top"/>
                </w:tcPr>
                <w:p>
                  <w:r>
                    <w:t xml:space="preserve">Managing things around the home</w:t>
                  </w:r>
                </w:p>
              </w:tc>
              <w:tc>
                <w:tcPr>
                  <w:tcW w:w="750" w:type="pct"/>
                  <w:vAlign w:val="top"/>
                </w:tcPr>
                <w:p>
                  <w:r>
                    <w:t xml:space="preserve">5a</w:t>
                  </w:r>
                </w:p>
              </w:tc>
              <w:tc>
                <w:tcPr>
                  <w:tcW w:w="750" w:type="pct"/>
                  <w:vAlign w:val="top"/>
                </w:tcPr>
                <w:p>
                  <w:r>
                    <w:t xml:space="preserve">5b</w:t>
                  </w:r>
                </w:p>
              </w:tc>
              <w:tc>
                <w:tcPr>
                  <w:tcW w:w="900" w:type="pct"/>
                  <w:vAlign w:val="top"/>
                </w:tcPr>
                <w:p>
                  <w:r>
                    <w:t xml:space="preserve">5c</w:t>
                  </w:r>
                </w:p>
              </w:tc>
              <w:tc>
                <w:tcPr>
                  <w:tcW w:w="400" w:type="pct"/>
                  <w:vAlign w:val="top"/>
                </w:tcPr>
                <w:p>
                  <w:r>
                    <w:t xml:space="preserve">5d</w:t>
                  </w:r>
                </w:p>
              </w:tc>
            </w:tr>
            <w:tr>
              <w:trPr/>
              <w:tc>
                <w:tcPr>
                  <w:tcW w:w="2050" w:type="pct"/>
                  <w:vAlign w:val="top"/>
                </w:tcPr>
                <w:p>
                  <w:r>
                    <w:t xml:space="preserve">Managing tasks and handling situations</w:t>
                  </w:r>
                </w:p>
              </w:tc>
              <w:tc>
                <w:tcPr>
                  <w:tcW w:w="750" w:type="pct"/>
                  <w:vAlign w:val="top"/>
                </w:tcPr>
                <w:p>
                  <w:r>
                    <w:t xml:space="preserve">6a</w:t>
                  </w:r>
                </w:p>
              </w:tc>
              <w:tc>
                <w:tcPr>
                  <w:tcW w:w="750" w:type="pct"/>
                  <w:vAlign w:val="top"/>
                </w:tcPr>
                <w:p>
                  <w:r>
                    <w:t xml:space="preserve">6b</w:t>
                  </w:r>
                </w:p>
              </w:tc>
              <w:tc>
                <w:tcPr>
                  <w:tcW w:w="900" w:type="pct"/>
                  <w:vAlign w:val="top"/>
                </w:tcPr>
                <w:p>
                  <w:r>
                    <w:t xml:space="preserve">6c</w:t>
                  </w:r>
                </w:p>
              </w:tc>
              <w:tc>
                <w:tcPr>
                  <w:tcW w:w="400" w:type="pct"/>
                  <w:vAlign w:val="top"/>
                </w:tcPr>
                <w:p>
                  <w:r>
                    <w:t xml:space="preserve">6d</w:t>
                  </w:r>
                </w:p>
              </w:tc>
            </w:tr>
            <w:tr>
              <w:trPr/>
              <w:tc>
                <w:tcPr>
                  <w:tcW w:w="2050" w:type="pct"/>
                  <w:vAlign w:val="top"/>
                </w:tcPr>
                <w:p>
                  <w:r>
                    <w:t xml:space="preserve">Personal relationships</w:t>
                  </w:r>
                </w:p>
              </w:tc>
              <w:tc>
                <w:tcPr>
                  <w:tcW w:w="750" w:type="pct"/>
                  <w:vAlign w:val="top"/>
                </w:tcPr>
                <w:p>
                  <w:r>
                    <w:t xml:space="preserve">7a</w:t>
                  </w:r>
                </w:p>
              </w:tc>
              <w:tc>
                <w:tcPr>
                  <w:tcW w:w="750" w:type="pct"/>
                  <w:vAlign w:val="top"/>
                </w:tcPr>
                <w:p>
                  <w:r>
                    <w:t xml:space="preserve">7b</w:t>
                  </w:r>
                </w:p>
              </w:tc>
              <w:tc>
                <w:tcPr>
                  <w:tcW w:w="900" w:type="pct"/>
                  <w:vAlign w:val="top"/>
                </w:tcPr>
                <w:p>
                  <w:r>
                    <w:t xml:space="preserve">7c</w:t>
                  </w:r>
                </w:p>
              </w:tc>
              <w:tc>
                <w:tcPr>
                  <w:tcW w:w="400" w:type="pct"/>
                  <w:vAlign w:val="top"/>
                </w:tcPr>
                <w:p>
                  <w:r>
                    <w:t xml:space="preserve">7d</w:t>
                  </w:r>
                </w:p>
              </w:tc>
            </w:tr>
            <w:tr>
              <w:trPr/>
              <w:tc>
                <w:tcPr>
                  <w:tcW w:w="2050" w:type="pct"/>
                  <w:vAlign w:val="top"/>
                </w:tcPr>
                <w:p>
                  <w:r>
                    <w:t xml:space="preserve">Community life</w:t>
                  </w:r>
                </w:p>
              </w:tc>
              <w:tc>
                <w:tcPr>
                  <w:tcW w:w="750" w:type="pct"/>
                  <w:vAlign w:val="top"/>
                </w:tcPr>
                <w:p>
                  <w:r>
                    <w:t xml:space="preserve">8a</w:t>
                  </w:r>
                </w:p>
              </w:tc>
              <w:tc>
                <w:tcPr>
                  <w:tcW w:w="750" w:type="pct"/>
                  <w:vAlign w:val="top"/>
                </w:tcPr>
                <w:p>
                  <w:r>
                    <w:t xml:space="preserve">8b</w:t>
                  </w:r>
                </w:p>
              </w:tc>
              <w:tc>
                <w:tcPr>
                  <w:tcW w:w="900" w:type="pct"/>
                  <w:vAlign w:val="top"/>
                </w:tcPr>
                <w:p>
                  <w:r>
                    <w:t xml:space="preserve">8c</w:t>
                  </w:r>
                </w:p>
              </w:tc>
              <w:tc>
                <w:tcPr>
                  <w:tcW w:w="400" w:type="pct"/>
                  <w:vAlign w:val="top"/>
                </w:tcPr>
                <w:p>
                  <w:r>
                    <w:t xml:space="preserve">8d</w:t>
                  </w:r>
                </w:p>
              </w:tc>
            </w:tr>
          </w:tbl>
          <w:p>
            <w:r>
              <w:t xml:space="preserve"> </w:t>
            </w:r>
          </w:p>
          <w:p>
            <w:r>
              <w:t xml:space="preserve">CODE 1</w:t>
            </w:r>
          </w:p>
          <w:p>
            <w:r>
              <w:t xml:space="preserve">Use if any of 1a to 8c </w:t>
            </w:r>
          </w:p>
          <w:p>
            <w:r>
              <w:t xml:space="preserve">CODE 2</w:t>
            </w:r>
          </w:p>
          <w:p>
            <w:r>
              <w:t xml:space="preserve">Use if all of 1d to 8d.</w:t>
            </w:r>
          </w:p>
          <w:p>
            <w:r>
              <w:t xml:space="preserve">CODE 9</w:t>
            </w:r>
          </w:p>
          <w:p>
            <w:r>
              <w:t xml:space="preserve">Use if any rows missing and other answers only in range of 1d to 8d.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derived to identify people with activity limitations reported in the </w:t>
            </w:r>
            <w:hyperlink w:history="true" r:id="Ree138ff891cf4067">
              <w:r>
                <w:rPr>
                  <w:rStyle w:val="Hyperlink"/>
                </w:rPr>
                <w:t xml:space="preserve">Activity and participation need for assistance cluster (Standardised Disability Flag)</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Activities and Participation list in the International Classification of Functioning, Disability and Health can be viewed as either individual functioning (activities) or societal functioning (participation) (WHO 2001).</w:t>
            </w:r>
          </w:p>
          <w:p>
            <w:pPr/>
            <w:r>
              <w:rPr>
                <w:rStyle w:val="row-content-rich-text"/>
              </w:rPr>
              <w:t xml:space="preserve">Activity limitations are difficulties an individual may have in executing activities. Participation restrictions are problems an individual may experience in involvement in life situations.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9aa02bb6ee9d4c7d">
              <w:r>
                <w:rPr>
                  <w:rStyle w:val="Hyperlink"/>
                </w:rPr>
                <w:t xml:space="preserve">Person—activity and participation life area, disability flag code N</w:t>
              </w:r>
            </w:hyperlink>
          </w:p>
          <w:p>
            <w:pPr>
              <w:pStyle w:val="registration-status"/>
              <w:spacing w:before="0" w:after="0"/>
            </w:pPr>
            <w:hyperlink w:history="true" r:id="R5726fe882b5545d3">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49c15ac6027344d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f04db541b4e4054">
              <w:r>
                <w:rPr>
                  <w:rStyle w:val="Hyperlink"/>
                  <w:color w:val="244061"/>
                </w:rPr>
                <w:t xml:space="preserve">Health!</w:t>
              </w:r>
            </w:hyperlink>
            <w:r>
              <w:rPr>
                <w:rStyle w:val="row-content"/>
                <w:color w:val="244061"/>
              </w:rPr>
              <w:t xml:space="preserve">, Standard 28/04/2016</w:t>
            </w:r>
          </w:p>
          <w:p>
            <w:r>
              <w:br/>
            </w:r>
            <w:r>
              <w:rPr>
                <w:rStyle w:val="row-content"/>
              </w:rPr>
              <w:t xml:space="preserve">Is formed using </w:t>
            </w:r>
            <w:hyperlink w:history="true" r:id="Rb03d4c6427a64a50">
              <w:r>
                <w:rPr>
                  <w:rStyle w:val="Hyperlink"/>
                </w:rPr>
                <w:t xml:space="preserve">Person—need for assistance with activities in a life area, disability flag code N</w:t>
              </w:r>
            </w:hyperlink>
          </w:p>
          <w:p>
            <w:pPr>
              <w:pStyle w:val="registration-status"/>
              <w:spacing w:before="0" w:after="0"/>
            </w:pPr>
            <w:hyperlink w:history="true" r:id="R862c001b081449a1">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2c68cade0052400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7bb4f2315944f2">
              <w:r>
                <w:rPr>
                  <w:rStyle w:val="Hyperlink"/>
                </w:rPr>
                <w:t xml:space="preserve">Standardised disability flag module</w:t>
              </w:r>
            </w:hyperlink>
          </w:p>
          <w:p>
            <w:pPr>
              <w:pStyle w:val="registration-status"/>
              <w:spacing w:before="0" w:after="0"/>
            </w:pPr>
            <w:hyperlink w:history="true" r:id="R4540d80249fd4548">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67686aaf4954473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9a0dce7ec0c4a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533815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0c331d656248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a0dce7ec0c4ab3" /><Relationship Type="http://schemas.openxmlformats.org/officeDocument/2006/relationships/header" Target="/word/header1.xml" Id="Rb17d8414573f448d" /><Relationship Type="http://schemas.openxmlformats.org/officeDocument/2006/relationships/settings" Target="/word/settings.xml" Id="R7bebc90fa691478a" /><Relationship Type="http://schemas.openxmlformats.org/officeDocument/2006/relationships/styles" Target="/word/styles.xml" Id="Rd7b88ade8f6e434b" /><Relationship Type="http://schemas.openxmlformats.org/officeDocument/2006/relationships/hyperlink" Target="https://meteor-uat.aihw.gov.au/RegistrationAuthority/3" TargetMode="External" Id="R17a8ca9b2fe848e4" /><Relationship Type="http://schemas.openxmlformats.org/officeDocument/2006/relationships/hyperlink" Target="https://meteor-uat.aihw.gov.au/RegistrationAuthority/18" TargetMode="External" Id="Rf076a00e32174bc5" /><Relationship Type="http://schemas.openxmlformats.org/officeDocument/2006/relationships/hyperlink" Target="https://meteor-uat.aihw.gov.au/content/533811" TargetMode="External" Id="R4df7a8ed30b649b2" /><Relationship Type="http://schemas.openxmlformats.org/officeDocument/2006/relationships/hyperlink" Target="https://meteor-uat.aihw.gov.au/content/533826" TargetMode="External" Id="R0f3b3129a48d46d5" /><Relationship Type="http://schemas.openxmlformats.org/officeDocument/2006/relationships/hyperlink" Target="https://meteor-uat.aihw.gov.au/content/505770" TargetMode="External" Id="Ree138ff891cf4067" /><Relationship Type="http://schemas.openxmlformats.org/officeDocument/2006/relationships/hyperlink" Target="https://meteor-uat.aihw.gov.au/content/505720" TargetMode="External" Id="R9aa02bb6ee9d4c7d" /><Relationship Type="http://schemas.openxmlformats.org/officeDocument/2006/relationships/hyperlink" Target="https://meteor-uat.aihw.gov.au/RegistrationAuthority/3" TargetMode="External" Id="R5726fe882b5545d3" /><Relationship Type="http://schemas.openxmlformats.org/officeDocument/2006/relationships/hyperlink" Target="https://meteor-uat.aihw.gov.au/RegistrationAuthority/18" TargetMode="External" Id="R49c15ac6027344d2" /><Relationship Type="http://schemas.openxmlformats.org/officeDocument/2006/relationships/hyperlink" Target="https://meteor-uat.aihw.gov.au/RegistrationAuthority/14" TargetMode="External" Id="R1f04db541b4e4054" /><Relationship Type="http://schemas.openxmlformats.org/officeDocument/2006/relationships/hyperlink" Target="https://meteor-uat.aihw.gov.au/content/520803" TargetMode="External" Id="Rb03d4c6427a64a50" /><Relationship Type="http://schemas.openxmlformats.org/officeDocument/2006/relationships/hyperlink" Target="https://meteor-uat.aihw.gov.au/RegistrationAuthority/3" TargetMode="External" Id="R862c001b081449a1" /><Relationship Type="http://schemas.openxmlformats.org/officeDocument/2006/relationships/hyperlink" Target="https://meteor-uat.aihw.gov.au/RegistrationAuthority/18" TargetMode="External" Id="R2c68cade00524001" /><Relationship Type="http://schemas.openxmlformats.org/officeDocument/2006/relationships/hyperlink" Target="https://meteor-uat.aihw.gov.au/content/521050" TargetMode="External" Id="Rd87bb4f2315944f2" /><Relationship Type="http://schemas.openxmlformats.org/officeDocument/2006/relationships/hyperlink" Target="https://meteor-uat.aihw.gov.au/RegistrationAuthority/3" TargetMode="External" Id="R4540d80249fd4548" /><Relationship Type="http://schemas.openxmlformats.org/officeDocument/2006/relationships/hyperlink" Target="https://meteor-uat.aihw.gov.au/RegistrationAuthority/18" TargetMode="External" Id="R67686aaf4954473d" /></Relationships>
</file>

<file path=word/_rels/header1.xml.rels>&#65279;<?xml version="1.0" encoding="utf-8"?><Relationships xmlns="http://schemas.openxmlformats.org/package/2006/relationships"><Relationship Type="http://schemas.openxmlformats.org/officeDocument/2006/relationships/image" Target="/media/image.png" Id="R0f0c331d65624883" /></Relationships>
</file>