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e21dbb4ac44192" /></Relationships>
</file>

<file path=word/document.xml><?xml version="1.0" encoding="utf-8"?>
<w:document xmlns:r="http://schemas.openxmlformats.org/officeDocument/2006/relationships" xmlns:w="http://schemas.openxmlformats.org/wordprocessingml/2006/main">
  <w:body>
    <w:p>
      <w:pPr>
        <w:pStyle w:val="Title"/>
      </w:pPr>
      <w:r>
        <w:t>Health or health related-function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or health related-function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e408802dd4a3d">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or health-related function.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c583e8215914852">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4dfa437124b41fa">
              <w:r>
                <w:rPr>
                  <w:rStyle w:val="Hyperlink"/>
                  <w:b/>
                </w:rPr>
                <w:t xml:space="preserve">ambulatory care</w:t>
              </w:r>
            </w:hyperlink>
            <w:r>
              <w:rPr>
                <w:rStyle w:val="row-content-rich-text"/>
              </w:rPr>
              <w:t xml:space="preserve"> mental health programs which are provided as </w:t>
            </w:r>
            <w:hyperlink w:tooltip="An examination, consultation, treatment or other service provided in an outpatient setting in a specialty unit or under an organisational arrangement administered by a hospital." w:history="true" r:id="Rcf4de8b8fb104ee8">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b89451340ae84124">
              <w:r>
                <w:rPr>
                  <w:rStyle w:val="Hyperlink"/>
                  <w:b/>
                </w:rPr>
                <w:t xml:space="preserve">emergency department</w:t>
              </w:r>
            </w:hyperlink>
            <w:r>
              <w:rPr>
                <w:rStyle w:val="row-content-rich-text"/>
              </w:rPr>
              <w:t xml:space="preserve"> 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d4712f3f9b88412b">
              <w:r>
                <w:rPr>
                  <w:rStyle w:val="Hyperlink"/>
                  <w:b/>
                </w:rPr>
                <w:t xml:space="preserve">hospital-in-the-home</w:t>
              </w:r>
            </w:hyperlink>
            <w:r>
              <w:rPr>
                <w:rStyle w:val="row-content-rich-text"/>
              </w:rPr>
              <w:t xml:space="preserve"> services.</w:t>
            </w:r>
          </w:p>
          <w:p>
            <w:pPr>
              <w:spacing w:after="160"/>
            </w:pPr>
            <w:r>
              <w:rPr>
                <w:rStyle w:val="row-content-rich-text"/>
              </w:rPr>
              <w:t xml:space="preserve">Excludes emergency department and outpatient care provided to non-admitted patients, and community-based (non-hospital)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Codes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25754b1ed4c74245">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257e952c00749a3">
              <w:r>
                <w:rPr>
                  <w:rStyle w:val="Hyperlink"/>
                  <w:b/>
                </w:rPr>
                <w:t xml:space="preserve">residential mental health service</w:t>
              </w:r>
            </w:hyperlink>
            <w:r>
              <w:rPr>
                <w:rStyle w:val="row-content-rich-text"/>
              </w:rPr>
              <w:t xml:space="preserve"> 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Codes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963fe185a4d47f7">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a002df385158488c">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Codes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Expenditure on Communicable disease control is recorded using three sub-categories:</w:t>
            </w:r>
          </w:p>
          <w:p>
            <w:pPr>
              <w:pStyle w:val="ListParagraph"/>
              <w:numPr>
                <w:ilvl w:val="0"/>
                <w:numId w:val="2"/>
              </w:numPr>
            </w:pPr>
            <w:r>
              <w:rPr>
                <w:rStyle w:val="row-content-rich-text"/>
              </w:rPr>
              <w:t xml:space="preserve">HIV/AIDS, hepatitis C and sexually transmitted infections</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7c170f57f98446b6">
              <w:r>
                <w:rPr>
                  <w:rStyle w:val="Hyperlink"/>
                  <w:b/>
                </w:rPr>
                <w:t xml:space="preserve">public health</w:t>
              </w:r>
            </w:hyperlink>
            <w:r>
              <w:rPr>
                <w:rStyle w:val="row-content-rich-text"/>
              </w:rPr>
              <w:t xml:space="preserve"> component of the HIV/AIDS, hepatitis C and sexually transmitted infections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Expenditure on treatment or diagnostic services is not included.</w:t>
            </w:r>
          </w:p>
          <w:p>
            <w:pPr>
              <w:spacing w:after="160"/>
            </w:pPr>
            <w:r>
              <w:rPr>
                <w:rStyle w:val="row-content-rich-text"/>
                <w:i/>
              </w:rPr>
              <w:t xml:space="preserve">HIV/AIDS, hepatitis C and sexually transmitted infections</w:t>
            </w:r>
          </w:p>
          <w:p>
            <w:pPr>
              <w:spacing w:after="160"/>
            </w:pPr>
            <w:r>
              <w:rPr>
                <w:rStyle w:val="row-content-rich-text"/>
              </w:rPr>
              <w:t xml:space="preserve">Inclusions</w:t>
            </w:r>
            <w:r>
              <w:br/>
            </w:r>
            <w:r>
              <w:rPr>
                <w:rStyle w:val="row-content-rich-text"/>
              </w:rPr>
              <w:t xml:space="preserve">• Implementation of health promotion strategies aimed at increasing safe behaviour among at-risk populations including people living with HIV/AIDS (including through community sector agencies)</w:t>
            </w:r>
            <w:r>
              <w:br/>
            </w:r>
            <w:r>
              <w:rPr>
                <w:rStyle w:val="row-content-rich-text"/>
              </w:rPr>
              <w:t xml:space="preserve">• provision of sexual health services to at-risk populations to reduce prevalence of sexually transmitted infections, including testing for sexually transmitted infections (including HIV and hepatitis C), pre-test counselling for all sexually transmitted infections (including HIV), broad-based screening programs and contact tracing</w:t>
            </w:r>
            <w:r>
              <w:br/>
            </w:r>
            <w:r>
              <w:rPr>
                <w:rStyle w:val="row-content-rich-text"/>
              </w:rPr>
              <w:t xml:space="preserve">• programs toward prevention of sexually transmitted infections (STIs) and blood borne viruses (BBVs), including genital herpes, hepatitis B and C, human papilloma virus, chlamydia, gonorrhoea and syphilis</w:t>
            </w:r>
            <w:r>
              <w:br/>
            </w:r>
            <w:r>
              <w:rPr>
                <w:rStyle w:val="row-content-rich-text"/>
              </w:rPr>
              <w:t xml:space="preserve">• Indigenous health programs targeting STIs and BBVs</w:t>
            </w:r>
            <w:r>
              <w:br/>
            </w:r>
            <w:r>
              <w:rPr>
                <w:rStyle w:val="row-content-rich-text"/>
              </w:rPr>
              <w:t xml:space="preserve">• consultation with community sector agencies regarding program priorities and delivery</w:t>
            </w:r>
            <w:r>
              <w:br/>
            </w:r>
            <w:r>
              <w:rPr>
                <w:rStyle w:val="row-content-rich-text"/>
              </w:rPr>
              <w:t xml:space="preserve">• promotion of access to culturally appropriate services</w:t>
            </w:r>
            <w:r>
              <w:br/>
            </w:r>
            <w:r>
              <w:rPr>
                <w:rStyle w:val="row-content-rich-text"/>
              </w:rPr>
              <w:t xml:space="preserve">• minimisation of the risk of transmission through occupational and non-occupational exposure through prophylaxis</w:t>
            </w:r>
            <w:r>
              <w:br/>
            </w:r>
            <w:r>
              <w:rPr>
                <w:rStyle w:val="row-content-rich-text"/>
              </w:rPr>
              <w:t xml:space="preserve">• support of targeted training to ensure provision of best practice sexual health services for at-risk populations</w:t>
            </w:r>
            <w:r>
              <w:br/>
            </w:r>
            <w:r>
              <w:rPr>
                <w:rStyle w:val="row-content-rich-text"/>
              </w:rPr>
              <w:t xml:space="preserve">• surveillance</w:t>
            </w:r>
            <w:r>
              <w:br/>
            </w:r>
            <w:r>
              <w:rPr>
                <w:rStyle w:val="row-content-rich-text"/>
              </w:rPr>
              <w:t xml:space="preserve">• development of and participation in relevant committees</w:t>
            </w:r>
            <w:r>
              <w:br/>
            </w:r>
            <w:r>
              <w:rPr>
                <w:rStyle w:val="row-content-rich-text"/>
              </w:rPr>
              <w:t xml:space="preserve">• diagnostic services</w:t>
            </w:r>
            <w:r>
              <w:br/>
            </w:r>
            <w:r>
              <w:rPr>
                <w:rStyle w:val="row-content-rich-text"/>
              </w:rPr>
              <w:t xml:space="preserve">• peer support programs immediately following diagnosis which promote safe sex practices and inform patients and carers about how to live with HIV/AIDS, blood borne viruses, hepatitis C and sexually transmitted infections</w:t>
            </w:r>
            <w:r>
              <w:br/>
            </w:r>
            <w:r>
              <w:rPr>
                <w:rStyle w:val="row-content-rich-text"/>
              </w:rPr>
              <w:t xml:space="preserve">• provision of high-quality data to health professionals to improve service delivery</w:t>
            </w:r>
            <w:r>
              <w:br/>
            </w:r>
            <w:r>
              <w:rPr>
                <w:rStyle w:val="row-content-rich-text"/>
              </w:rPr>
              <w:t xml:space="preserve">• participation in or initiation of research to establish data to inform service provision</w:t>
            </w:r>
            <w:r>
              <w:br/>
            </w:r>
            <w:r>
              <w:rPr>
                <w:rStyle w:val="row-content-rich-text"/>
              </w:rPr>
              <w:t xml:space="preserve">• funding to NGOs (for example, hepatitis councils, HIV/AIDS councils)</w:t>
            </w:r>
            <w:r>
              <w:br/>
            </w:r>
            <w:r>
              <w:rPr>
                <w:rStyle w:val="row-content-rich-text"/>
              </w:rPr>
              <w:t xml:space="preserve">• support of volunteer programs through access to training</w:t>
            </w:r>
            <w:r>
              <w:br/>
            </w:r>
            <w:r>
              <w:rPr>
                <w:rStyle w:val="row-content-rich-text"/>
              </w:rPr>
              <w:t xml:space="preserve">• management of people with HIV who place others at risk</w:t>
            </w:r>
          </w:p>
          <w:p>
            <w:pPr>
              <w:spacing w:after="160"/>
            </w:pPr>
            <w:r>
              <w:rPr>
                <w:rStyle w:val="row-content-rich-text"/>
              </w:rPr>
              <w:t xml:space="preserve">Exclusions</w:t>
            </w:r>
            <w:r>
              <w:br/>
            </w:r>
            <w:r>
              <w:rPr>
                <w:rStyle w:val="row-content-rich-text"/>
              </w:rPr>
              <w:t xml:space="preserve">• treatment for sexually transmitted infections</w:t>
            </w:r>
            <w:r>
              <w:br/>
            </w:r>
            <w:r>
              <w:rPr>
                <w:rStyle w:val="row-content-rich-text"/>
              </w:rPr>
              <w:t xml:space="preserve">• pharmaceuticals</w:t>
            </w:r>
            <w:r>
              <w:br/>
            </w:r>
            <w:r>
              <w:rPr>
                <w:rStyle w:val="row-content-rich-text"/>
              </w:rPr>
              <w:t xml:space="preserve">• HIV testing following diagnosis</w:t>
            </w:r>
            <w:r>
              <w:br/>
            </w:r>
            <w:r>
              <w:rPr>
                <w:rStyle w:val="row-content-rich-text"/>
              </w:rPr>
              <w:t xml:space="preserve">• specialist GPs for primary management of HIV/AIDS</w:t>
            </w:r>
            <w:r>
              <w:br/>
            </w:r>
            <w:r>
              <w:rPr>
                <w:rStyle w:val="row-content-rich-text"/>
              </w:rPr>
              <w:t xml:space="preserve">• access to HIV treatments and viral load testing</w:t>
            </w:r>
            <w:r>
              <w:br/>
            </w:r>
            <w:r>
              <w:rPr>
                <w:rStyle w:val="row-content-rich-text"/>
              </w:rPr>
              <w:t xml:space="preserve">• outpatient and ambulatory services</w:t>
            </w:r>
            <w:r>
              <w:br/>
            </w:r>
            <w:r>
              <w:rPr>
                <w:rStyle w:val="row-content-rich-text"/>
              </w:rPr>
              <w:t xml:space="preserve">• dental health services</w:t>
            </w:r>
            <w:r>
              <w:br/>
            </w:r>
            <w:r>
              <w:rPr>
                <w:rStyle w:val="row-content-rich-text"/>
              </w:rPr>
              <w:t xml:space="preserve">• welfare and housing referral services</w:t>
            </w:r>
            <w:r>
              <w:br/>
            </w:r>
            <w:r>
              <w:rPr>
                <w:rStyle w:val="row-content-rich-text"/>
              </w:rPr>
              <w:t xml:space="preserve">• admitted patient services</w:t>
            </w:r>
            <w:r>
              <w:br/>
            </w:r>
            <w:r>
              <w:rPr>
                <w:rStyle w:val="row-content-rich-text"/>
              </w:rPr>
              <w:t xml:space="preserve">• mental health services</w:t>
            </w:r>
            <w:r>
              <w:br/>
            </w:r>
            <w:r>
              <w:rPr>
                <w:rStyle w:val="row-content-rich-text"/>
              </w:rPr>
              <w:t xml:space="preserve">• community and home-based care services</w:t>
            </w:r>
            <w:r>
              <w:br/>
            </w:r>
            <w:r>
              <w:rPr>
                <w:rStyle w:val="row-content-rich-text"/>
              </w:rPr>
              <w:t xml:space="preserve">• palliative and respite care services</w:t>
            </w:r>
            <w:r>
              <w:br/>
            </w:r>
            <w:r>
              <w:rPr>
                <w:rStyle w:val="row-content-rich-text"/>
              </w:rPr>
              <w:t xml:space="preserve">• maternity services</w:t>
            </w:r>
            <w:r>
              <w:br/>
            </w:r>
            <w:r>
              <w:rPr>
                <w:rStyle w:val="row-content-rich-text"/>
              </w:rPr>
              <w:t xml:space="preserve">• hepatitis B and HPV immunisation (included in </w:t>
            </w:r>
            <w:r>
              <w:rPr>
                <w:rStyle w:val="row-content-rich-text"/>
                <w:i/>
              </w:rPr>
              <w:t xml:space="preserve">Other organised immunisation</w:t>
            </w:r>
            <w:r>
              <w:rPr>
                <w:rStyle w:val="row-content-rich-text"/>
              </w:rPr>
              <w:t xml:space="preserve">)</w:t>
            </w:r>
            <w:r>
              <w:br/>
            </w:r>
            <w:r>
              <w:rPr>
                <w:rStyle w:val="row-content-rich-text"/>
              </w:rPr>
              <w:t xml:space="preserve">• Safe sexual health messages (included in </w:t>
            </w:r>
            <w:r>
              <w:rPr>
                <w:rStyle w:val="row-content-rich-text"/>
                <w:i/>
              </w:rPr>
              <w:t xml:space="preserve">Selected health promotion</w:t>
            </w:r>
            <w:r>
              <w:rPr>
                <w:rStyle w:val="row-content-rich-text"/>
              </w:rPr>
              <w:t xml:space="preserve">).</w:t>
            </w:r>
            <w:r>
              <w:br/>
            </w:r>
            <w:r>
              <w:rPr>
                <w:rStyle w:val="row-content-rich-text"/>
              </w:rPr>
              <w:t xml:space="preserve"> </w:t>
            </w:r>
          </w:p>
          <w:p>
            <w:pPr>
              <w:spacing w:after="160"/>
            </w:pPr>
            <w:r>
              <w:rPr>
                <w:rStyle w:val="row-content-rich-text"/>
                <w:i/>
              </w:rPr>
              <w:t xml:space="preserve">Needle and syringe programs</w:t>
            </w:r>
          </w:p>
          <w:p>
            <w:pPr>
              <w:spacing w:after="160"/>
            </w:pPr>
            <w:r>
              <w:rPr>
                <w:rStyle w:val="row-content-rich-text"/>
              </w:rPr>
              <w:t xml:space="preserve">Needle and syringe programs aim to reduce and prevent the transmission and spread of infectious diseases to individuals and the broader community through the provision of sterile injecting and disposal equipment, education, consultation and referral processes.</w:t>
            </w:r>
          </w:p>
          <w:p>
            <w:pPr>
              <w:spacing w:after="160"/>
            </w:pPr>
            <w:r>
              <w:rPr>
                <w:rStyle w:val="row-content-rich-text"/>
              </w:rPr>
              <w:t xml:space="preserve">Inclusions</w:t>
            </w:r>
            <w:r>
              <w:br/>
            </w:r>
            <w:r>
              <w:rPr>
                <w:rStyle w:val="row-content-rich-text"/>
              </w:rPr>
              <w:t xml:space="preserve">• education and training of the labour force</w:t>
            </w:r>
            <w:r>
              <w:br/>
            </w:r>
            <w:r>
              <w:rPr>
                <w:rStyle w:val="row-content-rich-text"/>
              </w:rPr>
              <w:t xml:space="preserve">• provision of safe injecting equipment, including the cost of equipment, transport and staff to deliver the service</w:t>
            </w:r>
            <w:r>
              <w:br/>
            </w:r>
            <w:r>
              <w:rPr>
                <w:rStyle w:val="row-content-rich-text"/>
              </w:rPr>
              <w:t xml:space="preserve">• administration of the program, including identifying new sites, negotiating services</w:t>
            </w:r>
            <w:r>
              <w:br/>
            </w:r>
            <w:r>
              <w:rPr>
                <w:rStyle w:val="row-content-rich-text"/>
              </w:rPr>
              <w:t xml:space="preserve">• costs, addressing public concerns and policy development</w:t>
            </w:r>
            <w:r>
              <w:br/>
            </w:r>
            <w:r>
              <w:rPr>
                <w:rStyle w:val="row-content-rich-text"/>
              </w:rPr>
              <w:t xml:space="preserve">• negotiation with pharmacies to support initiatives</w:t>
            </w:r>
            <w:r>
              <w:br/>
            </w:r>
            <w:r>
              <w:rPr>
                <w:rStyle w:val="row-content-rich-text"/>
              </w:rPr>
              <w:t xml:space="preserve">• consultation with community agencies operating needle and syringe program sites.</w:t>
            </w:r>
            <w:r>
              <w:br/>
            </w:r>
            <w:r>
              <w:rPr>
                <w:rStyle w:val="row-content-rich-text"/>
              </w:rPr>
              <w:t xml:space="preserve"> </w:t>
            </w:r>
          </w:p>
          <w:p>
            <w:pPr>
              <w:spacing w:after="160"/>
            </w:pPr>
            <w:r>
              <w:rPr>
                <w:rStyle w:val="row-content-rich-text"/>
                <w:i/>
              </w:rPr>
              <w:t xml:space="preserve">Other communicable disease control</w:t>
            </w:r>
          </w:p>
          <w:p>
            <w:pPr>
              <w:spacing w:after="160"/>
            </w:pPr>
            <w:r>
              <w:rPr>
                <w:rStyle w:val="row-content-rich-text"/>
              </w:rPr>
              <w:t xml:space="preserve">This sub-category includes all other communicable disease control activities not assigned to the </w:t>
            </w:r>
            <w:r>
              <w:rPr>
                <w:rStyle w:val="row-content-rich-text"/>
                <w:i/>
              </w:rPr>
              <w:t xml:space="preserve">HIV/AIDS, hepatitis C and sexually transmitted infections</w:t>
            </w:r>
            <w:r>
              <w:rPr>
                <w:rStyle w:val="row-content-rich-text"/>
              </w:rPr>
              <w:t xml:space="preserve"> or </w:t>
            </w:r>
            <w:r>
              <w:rPr>
                <w:rStyle w:val="row-content-rich-text"/>
                <w:i/>
              </w:rPr>
              <w:t xml:space="preserve">Needle and syringe program</w:t>
            </w:r>
            <w:r>
              <w:rPr>
                <w:rStyle w:val="row-content-rich-text"/>
              </w:rPr>
              <w:t xml:space="preserve"> sub-categories as defined above.</w:t>
            </w:r>
          </w:p>
          <w:p>
            <w:pPr>
              <w:spacing w:after="160"/>
            </w:pPr>
            <w:r>
              <w:rPr>
                <w:rStyle w:val="row-content-rich-text"/>
              </w:rPr>
              <w:t xml:space="preserve">Inclusions</w:t>
            </w:r>
            <w:r>
              <w:br/>
            </w:r>
            <w:r>
              <w:rPr>
                <w:rStyle w:val="row-content-rich-text"/>
              </w:rPr>
              <w:t xml:space="preserve">• surveillance systems, screenings, recording, notification and reporting systems</w:t>
            </w:r>
            <w:r>
              <w:br/>
            </w:r>
            <w:r>
              <w:rPr>
                <w:rStyle w:val="row-content-rich-text"/>
              </w:rPr>
              <w:t xml:space="preserve">• case response, contact tracing, investigation and disease outbreak planning and management</w:t>
            </w:r>
            <w:r>
              <w:br/>
            </w:r>
            <w:r>
              <w:rPr>
                <w:rStyle w:val="row-content-rich-text"/>
              </w:rPr>
              <w:t xml:space="preserve">• policy and support services specifically related to communicable disease control programs</w:t>
            </w:r>
            <w:r>
              <w:br/>
            </w:r>
            <w:r>
              <w:rPr>
                <w:rStyle w:val="row-content-rich-text"/>
              </w:rPr>
              <w:t xml:space="preserve">• provision and administration of vaccines for the management of disease outbreaks</w:t>
            </w:r>
            <w:r>
              <w:br/>
            </w:r>
            <w:r>
              <w:rPr>
                <w:rStyle w:val="row-content-rich-text"/>
              </w:rPr>
              <w:t xml:space="preserve">• provision of advice and education on all other communicable diseases</w:t>
            </w:r>
            <w:r>
              <w:br/>
            </w:r>
            <w:r>
              <w:rPr>
                <w:rStyle w:val="row-content-rich-text"/>
              </w:rPr>
              <w:t xml:space="preserve">• initial counselling for people tested</w:t>
            </w:r>
            <w:r>
              <w:br/>
            </w:r>
            <w:r>
              <w:rPr>
                <w:rStyle w:val="row-content-rich-text"/>
              </w:rPr>
              <w:t xml:space="preserve">• funding to NGOs for the provision of operating prevention programs</w:t>
            </w:r>
            <w:r>
              <w:br/>
            </w:r>
            <w:r>
              <w:rPr>
                <w:rStyle w:val="row-content-rich-text"/>
              </w:rPr>
              <w:t xml:space="preserve">• human quarantine-related services</w:t>
            </w:r>
            <w:r>
              <w:br/>
            </w:r>
            <w:r>
              <w:rPr>
                <w:rStyle w:val="row-content-rich-text"/>
              </w:rPr>
              <w:t xml:space="preserve">• OzFoodNet programs.</w:t>
            </w:r>
          </w:p>
          <w:p>
            <w:pPr>
              <w:spacing w:after="160"/>
            </w:pPr>
            <w:r>
              <w:rPr>
                <w:rStyle w:val="row-content-rich-text"/>
              </w:rPr>
              <w:t xml:space="preserve">Exclusions</w:t>
            </w:r>
            <w:r>
              <w:br/>
            </w:r>
            <w:r>
              <w:rPr>
                <w:rStyle w:val="row-content-rich-text"/>
              </w:rPr>
              <w:t xml:space="preserve">• clinical and treatment services for communicable disease infections including sexually transmitted infections</w:t>
            </w:r>
            <w:r>
              <w:br/>
            </w:r>
            <w:r>
              <w:rPr>
                <w:rStyle w:val="row-content-rich-text"/>
              </w:rPr>
              <w:t xml:space="preserve">• provision and administration of vaccines for immunisation programs as defined in the </w:t>
            </w:r>
            <w:r>
              <w:rPr>
                <w:rStyle w:val="row-content-rich-text"/>
                <w:i/>
              </w:rPr>
              <w:t xml:space="preserve">Organised immunisation</w:t>
            </w:r>
            <w:r>
              <w:rPr>
                <w:rStyle w:val="row-content-rich-text"/>
              </w:rPr>
              <w:t xml:space="preserve"> category</w:t>
            </w:r>
            <w:r>
              <w:br/>
            </w:r>
            <w:r>
              <w:rPr>
                <w:rStyle w:val="row-content-rich-text"/>
              </w:rPr>
              <w:t xml:space="preserve">• referral, treatment and associated counselling for communicable disease infections</w:t>
            </w:r>
            <w:r>
              <w:br/>
            </w:r>
            <w:r>
              <w:rPr>
                <w:rStyle w:val="row-content-rich-text"/>
              </w:rPr>
              <w:t xml:space="preserve">• staff screening programs, staff immunisation and staff education</w:t>
            </w:r>
            <w:r>
              <w:br/>
            </w:r>
            <w:r>
              <w:rPr>
                <w:rStyle w:val="row-content-rich-text"/>
              </w:rPr>
              <w:t xml:space="preserve">• infection control activities in hospitals</w:t>
            </w:r>
            <w:r>
              <w:br/>
            </w:r>
            <w:r>
              <w:rPr>
                <w:rStyle w:val="row-content-rich-text"/>
              </w:rPr>
              <w:t xml:space="preserve">• funding to NGOs for the provision of treatment-based programs.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or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Inclusions</w:t>
            </w:r>
            <w:r>
              <w:br/>
            </w:r>
            <w:r>
              <w:rPr>
                <w:rStyle w:val="row-content-rich-text"/>
              </w:rPr>
              <w:t xml:space="preserve">• State government funding for health promotion councils or NGOs</w:t>
            </w:r>
            <w:r>
              <w:br/>
            </w:r>
            <w:r>
              <w:rPr>
                <w:rStyle w:val="row-content-rich-text"/>
              </w:rPr>
              <w:t xml:space="preserve">• organised population programs, or programs with a population focus (for example, programs on lifestyle risk factors, population level interventions targeting eating and physical activity, and Healthy communities, children and workers Cities and Healthy Schools programs)</w:t>
            </w:r>
            <w:r>
              <w:br/>
            </w:r>
            <w:r>
              <w:rPr>
                <w:rStyle w:val="row-content-rich-text"/>
              </w:rPr>
              <w:t xml:space="preserve">• development, administration, implementation and evaluation of policy, programs, guidelines and legislation</w:t>
            </w:r>
            <w:r>
              <w:br/>
            </w:r>
            <w:r>
              <w:rPr>
                <w:rStyle w:val="row-content-rich-text"/>
              </w:rPr>
              <w:t xml:space="preserve">• development and maintenance of health promotion databases (including data collection), where they can be separated from ‘non-public health’ databases</w:t>
            </w:r>
            <w:r>
              <w:br/>
            </w:r>
            <w:r>
              <w:rPr>
                <w:rStyle w:val="row-content-rich-text"/>
              </w:rPr>
              <w:t xml:space="preserve">• health sector input to cross-sector health education</w:t>
            </w:r>
            <w:r>
              <w:br/>
            </w:r>
            <w:r>
              <w:rPr>
                <w:rStyle w:val="row-content-rich-text"/>
              </w:rPr>
              <w:t xml:space="preserve">• organised population health screening of risk factors for preventable chronic disease</w:t>
            </w:r>
            <w:r>
              <w:br/>
            </w:r>
            <w:r>
              <w:rPr>
                <w:rStyle w:val="row-content-rich-text"/>
              </w:rPr>
              <w:t xml:space="preserve">• communication information and advice to the public</w:t>
            </w:r>
            <w:r>
              <w:br/>
            </w:r>
            <w:r>
              <w:rPr>
                <w:rStyle w:val="row-content-rich-text"/>
              </w:rPr>
              <w:t xml:space="preserve">• supportive environments for healthy living</w:t>
            </w:r>
            <w:r>
              <w:br/>
            </w:r>
            <w:r>
              <w:rPr>
                <w:rStyle w:val="row-content-rich-text"/>
              </w:rPr>
              <w:t xml:space="preserve">• Innovative Health Services for homeless youth.</w:t>
            </w:r>
            <w:r>
              <w:br/>
            </w:r>
            <w:r>
              <w:br/>
            </w:r>
            <w:r>
              <w:rPr>
                <w:rStyle w:val="row-content-rich-text"/>
              </w:rPr>
              <w:t xml:space="preserve">Exclusions</w:t>
            </w:r>
            <w:r>
              <w:br/>
            </w:r>
            <w:r>
              <w:rPr>
                <w:rStyle w:val="row-content-rich-text"/>
              </w:rPr>
              <w:t xml:space="preserve">• opportunistic health checks of individuals, activities for heart disease risk factors (stress, blood pressure, cholesterol)</w:t>
            </w:r>
            <w:r>
              <w:br/>
            </w:r>
            <w:r>
              <w:rPr>
                <w:rStyle w:val="row-content-rich-text"/>
              </w:rPr>
              <w:t xml:space="preserve">• information programs on management of specific diseases post-diagnosis</w:t>
            </w:r>
            <w:r>
              <w:br/>
            </w:r>
            <w:r>
              <w:rPr>
                <w:rStyle w:val="row-content-rich-text"/>
              </w:rPr>
              <w:t xml:space="preserve">• community nurse activity (for example, ad-hoc talking to schools about nutrition)</w:t>
            </w:r>
            <w:r>
              <w:br/>
            </w:r>
            <w:r>
              <w:rPr>
                <w:rStyle w:val="row-content-rich-text"/>
              </w:rPr>
              <w:t xml:space="preserve">• individual counselling including health education on an ad-hoc basis</w:t>
            </w:r>
            <w:r>
              <w:br/>
            </w:r>
            <w:r>
              <w:rPr>
                <w:rStyle w:val="row-content-rich-text"/>
              </w:rPr>
              <w:t xml:space="preserve">• compliance with safety codes and maintenance of healthy environments</w:t>
            </w:r>
            <w:r>
              <w:br/>
            </w:r>
            <w:r>
              <w:rPr>
                <w:rStyle w:val="row-content-rich-text"/>
              </w:rPr>
              <w:t xml:space="preserve">• treatment for stress or other mental health disorders (for example, anxiety)</w:t>
            </w:r>
            <w:r>
              <w:br/>
            </w:r>
            <w:r>
              <w:rPr>
                <w:rStyle w:val="row-content-rich-text"/>
              </w:rPr>
              <w:t xml:space="preserve">• school education ad-hoc, school health nurses and school dental services</w:t>
            </w:r>
            <w:r>
              <w:br/>
            </w:r>
            <w:r>
              <w:rPr>
                <w:rStyle w:val="row-content-rich-text"/>
              </w:rPr>
              <w:t xml:space="preserve">• well baby clinics, domiciliary care and home nursing services</w:t>
            </w:r>
            <w:r>
              <w:br/>
            </w:r>
            <w:r>
              <w:rPr>
                <w:rStyle w:val="row-content-rich-text"/>
              </w:rPr>
              <w:t xml:space="preserve">• neighbourhood watch programs</w:t>
            </w:r>
            <w:r>
              <w:br/>
            </w:r>
            <w:r>
              <w:rPr>
                <w:rStyle w:val="row-content-rich-text"/>
              </w:rPr>
              <w:t xml:space="preserve">• occupational health and safety education (included under ‘Public health-related activities’)</w:t>
            </w:r>
            <w:r>
              <w:br/>
            </w:r>
            <w:r>
              <w:rPr>
                <w:rStyle w:val="row-content-rich-text"/>
              </w:rPr>
              <w:t xml:space="preserve">• population health programs directed at domestic, family and general violence</w:t>
            </w:r>
            <w:r>
              <w:br/>
            </w:r>
            <w:r>
              <w:rPr>
                <w:rStyle w:val="row-content-rich-text"/>
              </w:rPr>
              <w:t xml:space="preserve">• population health programs providing a safe sexual health message—these are included in the </w:t>
            </w:r>
            <w:r>
              <w:rPr>
                <w:rStyle w:val="row-content-rich-text"/>
                <w:i/>
              </w:rPr>
              <w:t xml:space="preserve">Communicable disease control</w:t>
            </w:r>
            <w:r>
              <w:rPr>
                <w:rStyle w:val="row-content-rich-text"/>
              </w:rPr>
              <w:t xml:space="preserve"> category</w:t>
            </w:r>
            <w:r>
              <w:br/>
            </w:r>
            <w:r>
              <w:rPr>
                <w:rStyle w:val="row-content-rich-text"/>
              </w:rPr>
              <w:t xml:space="preserve">• public health education campaigns and school health education programs funded outside the health sector</w:t>
            </w:r>
            <w:r>
              <w:br/>
            </w:r>
            <w:r>
              <w:rPr>
                <w:rStyle w:val="row-content-rich-text"/>
              </w:rPr>
              <w:t xml:space="preserve">• health promotion activities that are associated with core public health categories—these are classified in the relevant categories (for example, safe drinking programs should be classified in the </w:t>
            </w:r>
            <w:r>
              <w:rPr>
                <w:rStyle w:val="row-content-rich-text"/>
                <w:i/>
              </w:rPr>
              <w:t xml:space="preserve">Prevention of hazardous and harmful drug use</w:t>
            </w:r>
            <w:r>
              <w:rPr>
                <w:rStyle w:val="row-content-rich-text"/>
              </w:rPr>
              <w:t xml:space="preserve"> category).</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Expenditure on organised immunisation is recorded using three sub-categories:</w:t>
            </w:r>
          </w:p>
          <w:p>
            <w:pPr>
              <w:pStyle w:val="ListParagraph"/>
              <w:numPr>
                <w:ilvl w:val="0"/>
                <w:numId w:val="3"/>
              </w:numPr>
            </w:pPr>
            <w:r>
              <w:rPr>
                <w:rStyle w:val="row-content-rich-text"/>
              </w:rPr>
              <w:t xml:space="preserve">Organised childhood immunisation (as defined by the NHMRC National Immunisation Schedule)</w:t>
            </w:r>
          </w:p>
          <w:p>
            <w:pPr>
              <w:pStyle w:val="ListParagraph"/>
              <w:numPr>
                <w:ilvl w:val="0"/>
                <w:numId w:val="3"/>
              </w:numPr>
            </w:pPr>
            <w:r>
              <w:rPr>
                <w:rStyle w:val="row-content-rich-text"/>
              </w:rPr>
              <w:t xml:space="preserve">Organised pneumococcal and influenza immunisation</w:t>
            </w:r>
          </w:p>
          <w:p>
            <w:pPr>
              <w:pStyle w:val="ListParagraph"/>
              <w:numPr>
                <w:ilvl w:val="0"/>
                <w:numId w:val="3"/>
              </w:numPr>
            </w:pPr>
            <w:r>
              <w:rPr>
                <w:rStyle w:val="row-content-rich-text"/>
              </w:rPr>
              <w:t xml:space="preserve">All other organised immunisation (for example, tetanus)—as opposed to ad-hoc or opportunistic immunisation.</w:t>
            </w:r>
          </w:p>
          <w:p>
            <w:pPr>
              <w:spacing w:after="160"/>
            </w:pPr>
            <w:r>
              <w:rPr>
                <w:rStyle w:val="row-content-rich-text"/>
              </w:rPr>
              <w:t xml:space="preserve">Inclusions</w:t>
            </w:r>
            <w:r>
              <w:br/>
            </w:r>
            <w:r>
              <w:rPr>
                <w:rStyle w:val="row-content-rich-text"/>
              </w:rPr>
              <w:t xml:space="preserve">• promotion, distribution, provision and administration of vaccines as listed</w:t>
            </w:r>
            <w:r>
              <w:br/>
            </w:r>
            <w:r>
              <w:rPr>
                <w:rStyle w:val="row-content-rich-text"/>
              </w:rPr>
              <w:t xml:space="preserve">• immunisation clinics and school immunisation programs</w:t>
            </w:r>
            <w:r>
              <w:br/>
            </w:r>
            <w:r>
              <w:rPr>
                <w:rStyle w:val="row-content-rich-text"/>
              </w:rPr>
              <w:t xml:space="preserve">• immunisation education and public awareness</w:t>
            </w:r>
            <w:r>
              <w:br/>
            </w:r>
            <w:r>
              <w:rPr>
                <w:rStyle w:val="row-content-rich-text"/>
              </w:rPr>
              <w:t xml:space="preserve">• immunisation databases and information systems</w:t>
            </w:r>
            <w:r>
              <w:br/>
            </w:r>
            <w:r>
              <w:rPr>
                <w:rStyle w:val="row-content-rich-text"/>
              </w:rPr>
              <w:t xml:space="preserve">• staff vaccination programs where part of </w:t>
            </w:r>
            <w:r>
              <w:rPr>
                <w:rStyle w:val="row-content-rich-text"/>
                <w:i/>
              </w:rPr>
              <w:t xml:space="preserve">Organised immunisation</w:t>
            </w:r>
            <w:r>
              <w:rPr>
                <w:rStyle w:val="row-content-rich-text"/>
              </w:rPr>
              <w:t xml:space="preserve"> and NHMRC schedule for all tetanus immunisation.</w:t>
            </w:r>
          </w:p>
          <w:p>
            <w:pPr>
              <w:spacing w:after="160"/>
            </w:pPr>
            <w:r>
              <w:rPr>
                <w:rStyle w:val="row-content-rich-text"/>
              </w:rPr>
              <w:t xml:space="preserve">Exclusions</w:t>
            </w:r>
            <w:r>
              <w:br/>
            </w:r>
            <w:r>
              <w:rPr>
                <w:rStyle w:val="row-content-rich-text"/>
              </w:rPr>
              <w:t xml:space="preserve">• immunisation after possible infection or on detection of illness (for example, rabies vaccine)—this expenditure should be included in the </w:t>
            </w:r>
            <w:r>
              <w:rPr>
                <w:rStyle w:val="row-content-rich-text"/>
                <w:i/>
              </w:rPr>
              <w:t xml:space="preserve">Communicable disease control</w:t>
            </w:r>
            <w:r>
              <w:rPr>
                <w:rStyle w:val="row-content-rich-text"/>
              </w:rPr>
              <w:t xml:space="preserve"> expenditure category.</w:t>
            </w:r>
            <w:r>
              <w:br/>
            </w:r>
            <w:r>
              <w:rPr>
                <w:rStyle w:val="row-content-rich-text"/>
              </w:rPr>
              <w:t xml:space="preserve"> </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Environmental health includes the following characteristics:</w:t>
            </w:r>
            <w:r>
              <w:br/>
            </w:r>
            <w:r>
              <w:rPr>
                <w:rStyle w:val="row-content-rich-text"/>
              </w:rPr>
              <w:t xml:space="preserve">• vector control</w:t>
            </w:r>
            <w:r>
              <w:br/>
            </w:r>
            <w:r>
              <w:rPr>
                <w:rStyle w:val="row-content-rich-text"/>
              </w:rPr>
              <w:t xml:space="preserve">• chemical regulation and safety</w:t>
            </w:r>
            <w:r>
              <w:br/>
            </w:r>
            <w:r>
              <w:rPr>
                <w:rStyle w:val="row-content-rich-text"/>
              </w:rPr>
              <w:t xml:space="preserve">• radiation safety and control</w:t>
            </w:r>
            <w:r>
              <w:br/>
            </w:r>
            <w:r>
              <w:rPr>
                <w:rStyle w:val="row-content-rich-text"/>
              </w:rPr>
              <w:t xml:space="preserve">• public health aspects of water quality control and fluoridation</w:t>
            </w:r>
            <w:r>
              <w:br/>
            </w:r>
            <w:r>
              <w:rPr>
                <w:rStyle w:val="row-content-rich-text"/>
              </w:rPr>
              <w:t xml:space="preserve">• Legionella control</w:t>
            </w:r>
            <w:r>
              <w:br/>
            </w:r>
            <w:r>
              <w:rPr>
                <w:rStyle w:val="row-content-rich-text"/>
              </w:rPr>
              <w:t xml:space="preserve">• public health input to contaminated sites and unhealthy land</w:t>
            </w:r>
            <w:r>
              <w:br/>
            </w:r>
            <w:r>
              <w:rPr>
                <w:rStyle w:val="row-content-rich-text"/>
              </w:rPr>
              <w:t xml:space="preserve">• public health aspects of water environment control</w:t>
            </w:r>
            <w:r>
              <w:br/>
            </w:r>
            <w:r>
              <w:rPr>
                <w:rStyle w:val="row-content-rich-text"/>
              </w:rPr>
              <w:t xml:space="preserve">• public health input to hazardous materials management</w:t>
            </w:r>
            <w:r>
              <w:br/>
            </w:r>
            <w:r>
              <w:rPr>
                <w:rStyle w:val="row-content-rich-text"/>
              </w:rPr>
              <w:t xml:space="preserve">• public health aspects of waste water and solid waste</w:t>
            </w:r>
            <w:r>
              <w:br/>
            </w:r>
            <w:r>
              <w:rPr>
                <w:rStyle w:val="row-content-rich-text"/>
              </w:rPr>
              <w:t xml:space="preserve">• public health input to disaster management</w:t>
            </w:r>
            <w:r>
              <w:br/>
            </w:r>
            <w:r>
              <w:rPr>
                <w:rStyle w:val="row-content-rich-text"/>
              </w:rPr>
              <w:t xml:space="preserve">• public health contribution to environmental sampling, health impact statements and risk assessment</w:t>
            </w:r>
            <w:r>
              <w:br/>
            </w:r>
            <w:r>
              <w:rPr>
                <w:rStyle w:val="row-content-rich-text"/>
              </w:rPr>
              <w:t xml:space="preserve">• radiation regulation, water quality regulation, lead and asbestos regulation</w:t>
            </w:r>
            <w:r>
              <w:br/>
            </w:r>
            <w:r>
              <w:rPr>
                <w:rStyle w:val="row-content-rich-text"/>
              </w:rPr>
              <w:t xml:space="preserve">• environmental health monitoring.</w:t>
            </w:r>
            <w:r>
              <w:br/>
            </w:r>
            <w:r>
              <w:br/>
            </w:r>
            <w:r>
              <w:rPr>
                <w:rStyle w:val="row-content-rich-text"/>
              </w:rPr>
              <w:t xml:space="preserve">Inclusions</w:t>
            </w:r>
            <w:r>
              <w:br/>
            </w:r>
            <w:r>
              <w:rPr>
                <w:rStyle w:val="row-content-rich-text"/>
              </w:rPr>
              <w:t xml:space="preserve">• development, review and administration of legislation, policy and/or regulations health protection education (for example, safe chemical storage, water pollutants) and expert advice on specific issues</w:t>
            </w:r>
            <w:r>
              <w:br/>
            </w:r>
            <w:r>
              <w:rPr>
                <w:rStyle w:val="row-content-rich-text"/>
              </w:rPr>
              <w:t xml:space="preserve">• response to health complaints and investigation of breaches of legislation and disease outbreaks</w:t>
            </w:r>
            <w:r>
              <w:br/>
            </w:r>
            <w:r>
              <w:rPr>
                <w:rStyle w:val="row-content-rich-text"/>
              </w:rPr>
              <w:t xml:space="preserve">• surveillance, inspections and investigations to maintain standards (for example, water quality testing, sampling)</w:t>
            </w:r>
            <w:r>
              <w:br/>
            </w:r>
            <w:r>
              <w:rPr>
                <w:rStyle w:val="row-content-rich-text"/>
              </w:rPr>
              <w:t xml:space="preserve">• expert advice and provision of professional and technical support services on specific issues</w:t>
            </w:r>
            <w:r>
              <w:br/>
            </w:r>
            <w:r>
              <w:rPr>
                <w:rStyle w:val="row-content-rich-text"/>
              </w:rPr>
              <w:t xml:space="preserve">• administration of relevant legislation, such as the licensing of operators or conducting pest control examinations</w:t>
            </w:r>
            <w:r>
              <w:br/>
            </w:r>
            <w:r>
              <w:rPr>
                <w:rStyle w:val="row-content-rich-text"/>
              </w:rPr>
              <w:t xml:space="preserve">• maintenance of related databases (for example, issuing radiation licenses, and national notification of agricultural, veterinary and industrial chemicals and pesticides)</w:t>
            </w:r>
            <w:r>
              <w:br/>
            </w:r>
            <w:r>
              <w:rPr>
                <w:rStyle w:val="row-content-rich-text"/>
              </w:rPr>
              <w:t xml:space="preserve">• regulation and management of water fluoridation (includes addition of fluoride to water supplies)</w:t>
            </w:r>
            <w:r>
              <w:br/>
            </w:r>
            <w:r>
              <w:rPr>
                <w:rStyle w:val="row-content-rich-text"/>
              </w:rPr>
              <w:t xml:space="preserve">• public health component of assessment, remediation and management of contaminated land</w:t>
            </w:r>
            <w:r>
              <w:br/>
            </w:r>
            <w:r>
              <w:rPr>
                <w:rStyle w:val="row-content-rich-text"/>
              </w:rPr>
              <w:t xml:space="preserve">• public health input to land development applications</w:t>
            </w:r>
            <w:r>
              <w:br/>
            </w:r>
            <w:r>
              <w:rPr>
                <w:rStyle w:val="row-content-rich-text"/>
              </w:rPr>
              <w:t xml:space="preserve">• public health input to emergency management and disaster response management, including planning and emergency response teams</w:t>
            </w:r>
            <w:r>
              <w:br/>
            </w:r>
            <w:r>
              <w:rPr>
                <w:rStyle w:val="row-content-rich-text"/>
              </w:rPr>
              <w:t xml:space="preserve">• public health contribution to environmental sampling, health impact statements and risk assessment</w:t>
            </w:r>
            <w:r>
              <w:br/>
            </w:r>
            <w:r>
              <w:rPr>
                <w:rStyle w:val="row-content-rich-text"/>
              </w:rPr>
              <w:t xml:space="preserve">• public health input to control activities for vectors (for example, landfill, spraying, baiting, eradication)—to be included only if undertaken by regulatory agency</w:t>
            </w:r>
            <w:r>
              <w:br/>
            </w:r>
            <w:r>
              <w:rPr>
                <w:rStyle w:val="row-content-rich-text"/>
              </w:rPr>
              <w:t xml:space="preserve">• poisons regulation</w:t>
            </w:r>
            <w:r>
              <w:br/>
            </w:r>
            <w:r>
              <w:rPr>
                <w:rStyle w:val="row-content-rich-text"/>
              </w:rPr>
              <w:t xml:space="preserve">• pharmaceutical and therapeutic goods regulation</w:t>
            </w:r>
            <w:r>
              <w:br/>
            </w:r>
            <w:r>
              <w:rPr>
                <w:rStyle w:val="row-content-rich-text"/>
              </w:rPr>
              <w:t xml:space="preserve">• public health input to air and noise pollution control</w:t>
            </w:r>
            <w:r>
              <w:br/>
            </w:r>
            <w:r>
              <w:rPr>
                <w:rStyle w:val="row-content-rich-text"/>
              </w:rPr>
              <w:t xml:space="preserve">• training of environmental health workers</w:t>
            </w:r>
            <w:r>
              <w:br/>
            </w:r>
            <w:r>
              <w:rPr>
                <w:rStyle w:val="row-content-rich-text"/>
              </w:rPr>
              <w:t xml:space="preserve">• public health aspects of manufacture and distribution of medicines.</w:t>
            </w:r>
            <w:r>
              <w:br/>
            </w:r>
            <w:r>
              <w:br/>
            </w:r>
            <w:r>
              <w:rPr>
                <w:rStyle w:val="row-content-rich-text"/>
              </w:rPr>
              <w:t xml:space="preserve">Exclusions</w:t>
            </w:r>
            <w:r>
              <w:br/>
            </w:r>
            <w:r>
              <w:rPr>
                <w:rStyle w:val="row-content-rich-text"/>
              </w:rPr>
              <w:t xml:space="preserve">• costs borne by private or government industry in complying with regulations and legislation such as public health and environmental health acts</w:t>
            </w:r>
            <w:r>
              <w:br/>
            </w:r>
            <w:r>
              <w:rPr>
                <w:rStyle w:val="row-content-rich-text"/>
              </w:rPr>
              <w:t xml:space="preserve">• hospital infection control</w:t>
            </w:r>
            <w:r>
              <w:br/>
            </w:r>
            <w:r>
              <w:rPr>
                <w:rStyle w:val="row-content-rich-text"/>
              </w:rPr>
              <w:t xml:space="preserve">• treatment for infections (for example, Ross River fever or encephalitis treatment)</w:t>
            </w:r>
            <w:r>
              <w:br/>
            </w:r>
            <w:r>
              <w:rPr>
                <w:rStyle w:val="row-content-rich-text"/>
              </w:rPr>
              <w:t xml:space="preserve">• workplace testing or monitoring</w:t>
            </w:r>
            <w:r>
              <w:br/>
            </w:r>
            <w:r>
              <w:rPr>
                <w:rStyle w:val="row-content-rich-text"/>
              </w:rPr>
              <w:t xml:space="preserve">• installation and maintenance of systems (for example, waste disposal, storm water pollution, air-conditioning units)</w:t>
            </w:r>
            <w:r>
              <w:br/>
            </w:r>
            <w:r>
              <w:rPr>
                <w:rStyle w:val="row-content-rich-text"/>
              </w:rPr>
              <w:t xml:space="preserve">• management of land development applications</w:t>
            </w:r>
            <w:r>
              <w:br/>
            </w:r>
            <w:r>
              <w:rPr>
                <w:rStyle w:val="row-content-rich-text"/>
              </w:rPr>
              <w:t xml:space="preserve">• compliance with regulation which protects water courses and national parks</w:t>
            </w:r>
            <w:r>
              <w:br/>
            </w:r>
            <w:r>
              <w:rPr>
                <w:rStyle w:val="row-content-rich-text"/>
              </w:rPr>
              <w:t xml:space="preserve">• recycling programs</w:t>
            </w:r>
            <w:r>
              <w:br/>
            </w:r>
            <w:r>
              <w:rPr>
                <w:rStyle w:val="row-content-rich-text"/>
              </w:rPr>
              <w:t xml:space="preserve">• infectious waste control (for example, medical wastes and sharps) and disposal</w:t>
            </w:r>
            <w:r>
              <w:br/>
            </w:r>
            <w:r>
              <w:rPr>
                <w:rStyle w:val="row-content-rich-text"/>
              </w:rPr>
              <w:t xml:space="preserve">• environmental health protection research (to be included under Code 410, Public health research).</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Inclusions</w:t>
            </w:r>
            <w:r>
              <w:br/>
            </w:r>
            <w:r>
              <w:rPr>
                <w:rStyle w:val="row-content-rich-text"/>
              </w:rPr>
              <w:t xml:space="preserve">• development, review and implementation of food standards, regulations, legislation, policy and standards</w:t>
            </w:r>
            <w:r>
              <w:br/>
            </w:r>
            <w:r>
              <w:rPr>
                <w:rStyle w:val="row-content-rich-text"/>
              </w:rPr>
              <w:t xml:space="preserve">• surveillance (including inspections/audits), monitoring and enforcement of food legislation, policy and standards (including food premises registers, food safety programs, food safety supervisors and food safety auditing)</w:t>
            </w:r>
            <w:r>
              <w:br/>
            </w:r>
            <w:r>
              <w:rPr>
                <w:rStyle w:val="row-content-rich-text"/>
              </w:rPr>
              <w:t xml:space="preserve">• testing of prescribed contaminants in food by regulatory agency</w:t>
            </w:r>
            <w:r>
              <w:br/>
            </w:r>
            <w:r>
              <w:rPr>
                <w:rStyle w:val="row-content-rich-text"/>
              </w:rPr>
              <w:t xml:space="preserve">• education such as food safety awareness campaigns for suppliers and/or consumers</w:t>
            </w:r>
            <w:r>
              <w:br/>
            </w:r>
            <w:r>
              <w:rPr>
                <w:rStyle w:val="row-content-rich-text"/>
              </w:rPr>
              <w:t xml:space="preserve">• training and education for food handlers (including LGAs)</w:t>
            </w:r>
            <w:r>
              <w:br/>
            </w:r>
            <w:r>
              <w:rPr>
                <w:rStyle w:val="row-content-rich-text"/>
              </w:rPr>
              <w:t xml:space="preserve">• education and advice on food standards/requirements (for example, for food premises)</w:t>
            </w:r>
          </w:p>
          <w:p>
            <w:pPr>
              <w:spacing w:after="160"/>
            </w:pPr>
            <w:r>
              <w:rPr>
                <w:rStyle w:val="row-content-rich-text"/>
              </w:rPr>
              <w:t xml:space="preserve">Exclusions</w:t>
            </w:r>
            <w:r>
              <w:br/>
            </w:r>
            <w:r>
              <w:rPr>
                <w:rStyle w:val="row-content-rich-text"/>
              </w:rPr>
              <w:t xml:space="preserve">• compliance costs of industry associated with food regulations (for example, labelling and safe food handling practices)</w:t>
            </w:r>
            <w:r>
              <w:br/>
            </w:r>
            <w:r>
              <w:rPr>
                <w:rStyle w:val="row-content-rich-text"/>
              </w:rPr>
              <w:t xml:space="preserve">• testing of food by industry.</w:t>
            </w:r>
            <w:r>
              <w:br/>
            </w:r>
            <w:r>
              <w:rPr>
                <w:rStyle w:val="row-content-rich-text"/>
              </w:rPr>
              <w:t xml:space="preserve"> </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expenditure for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registers</w:t>
            </w:r>
            <w:r>
              <w:br/>
            </w:r>
            <w:r>
              <w:rPr>
                <w:rStyle w:val="row-content-rich-text"/>
              </w:rPr>
              <w:t xml:space="preserve">• Capital procurement and capacity planning</w:t>
            </w:r>
            <w:r>
              <w:br/>
            </w:r>
            <w:r>
              <w:rPr>
                <w:rStyle w:val="row-content-rich-text"/>
              </w:rPr>
              <w:t xml:space="preserve">• Quality management and monitoring (management of registries, communication and education, including social marketing, workforce development, training and monitoring, evaluation and research).</w:t>
            </w:r>
          </w:p>
          <w:p>
            <w:pPr>
              <w:spacing w:after="160"/>
            </w:pPr>
            <w:r>
              <w:rPr>
                <w:rStyle w:val="row-content-rich-text"/>
              </w:rPr>
              <w:t xml:space="preserve">Exclusions</w:t>
            </w:r>
            <w:r>
              <w:br/>
            </w:r>
            <w:r>
              <w:rPr>
                <w:rStyle w:val="row-content-rich-text"/>
              </w:rPr>
              <w:t xml:space="preserve">• Treatment and surveillance for five years after diagnosis</w:t>
            </w:r>
            <w:r>
              <w:br/>
            </w:r>
            <w:r>
              <w:rPr>
                <w:rStyle w:val="row-content-rich-text"/>
              </w:rPr>
              <w:t xml:space="preserve">• Post diagnosis follow up counselling and support</w:t>
            </w:r>
            <w:r>
              <w:br/>
            </w:r>
            <w:r>
              <w:rPr>
                <w:rStyle w:val="row-content-rich-text"/>
              </w:rPr>
              <w:t xml:space="preserve">• Pathology services associated with treatment</w:t>
            </w:r>
            <w:r>
              <w:br/>
            </w:r>
            <w:r>
              <w:rPr>
                <w:rStyle w:val="row-content-rich-text"/>
              </w:rPr>
              <w:t xml:space="preserve">• Breast cancer research collaboratives (to be included under Code 410, Public health research)</w:t>
            </w:r>
            <w:r>
              <w:br/>
            </w:r>
            <w:r>
              <w:rPr>
                <w:rStyle w:val="row-content-rich-text"/>
              </w:rPr>
              <w:t xml:space="preserve"> </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Pap smear registers</w:t>
            </w:r>
            <w:r>
              <w:br/>
            </w:r>
            <w:r>
              <w:rPr>
                <w:rStyle w:val="row-content-rich-text"/>
              </w:rPr>
              <w:t xml:space="preserve">• Quality management and monitoring</w:t>
            </w:r>
            <w:r>
              <w:br/>
            </w:r>
            <w:r>
              <w:rPr>
                <w:rStyle w:val="row-content-rich-text"/>
              </w:rPr>
              <w:t xml:space="preserve">• Communication and education, including social marketing</w:t>
            </w:r>
            <w:r>
              <w:br/>
            </w:r>
            <w:r>
              <w:rPr>
                <w:rStyle w:val="row-content-rich-text"/>
              </w:rPr>
              <w:t xml:space="preserve">• Monitoring, evaluation and research</w:t>
            </w:r>
          </w:p>
          <w:p>
            <w:pPr>
              <w:spacing w:after="160"/>
            </w:pPr>
            <w:r>
              <w:rPr>
                <w:rStyle w:val="row-content-rich-text"/>
              </w:rPr>
              <w:t xml:space="preserve">Exclusions</w:t>
            </w:r>
            <w:r>
              <w:br/>
            </w:r>
            <w:r>
              <w:rPr>
                <w:rStyle w:val="row-content-rich-text"/>
              </w:rPr>
              <w:t xml:space="preserve">• colposcopy services and related histopathology</w:t>
            </w:r>
            <w:r>
              <w:br/>
            </w:r>
            <w:r>
              <w:rPr>
                <w:rStyle w:val="row-content-rich-text"/>
              </w:rPr>
              <w:t xml:space="preserve">• counselling and/or treatment for patients diagnosed with cervical cancer (the differences between abnormalities and malignant carcinomas are described in Screening to Prevent Cervical Cancer: Guidelines for the Management of Women with Screen Detected Abnormalities. NHMRC 2005)</w:t>
            </w:r>
            <w:r>
              <w:br/>
            </w:r>
            <w:r>
              <w:rPr>
                <w:rStyle w:val="row-content-rich-text"/>
              </w:rPr>
              <w:t xml:space="preserve">• In some jurisdictions, some aspects of cervical screening are provided by third parties. In reporting expenditure for this category, jurisdictions should note if this is the case and whether or not this expenditure is included in the estimates they provide.</w:t>
            </w:r>
            <w:r>
              <w:br/>
            </w:r>
            <w:r>
              <w:rPr>
                <w:rStyle w:val="row-content-rich-text"/>
              </w:rPr>
              <w:t xml:space="preserve"> </w:t>
            </w:r>
          </w:p>
          <w:p>
            <w:pPr>
              <w:spacing w:after="160"/>
            </w:pPr>
            <w:r>
              <w:rPr>
                <w:rStyle w:val="row-content-rich-text"/>
              </w:rPr>
              <w:t xml:space="preserve">CODE 408   Public health – Bowel cancer screening</w:t>
            </w:r>
          </w:p>
          <w:p>
            <w:pPr>
              <w:spacing w:after="160"/>
            </w:pPr>
            <w:r>
              <w:rPr>
                <w:rStyle w:val="row-content-rich-text"/>
              </w:rPr>
              <w:t xml:space="preserve">This category relates to the organised National Bowel Cancer Screening Program (NBCSP). The screening pathways include:</w:t>
            </w:r>
          </w:p>
          <w:p>
            <w:pPr>
              <w:spacing w:after="160"/>
            </w:pPr>
            <w:r>
              <w:rPr>
                <w:rStyle w:val="row-content-rich-text"/>
              </w:rPr>
              <w:t xml:space="preserve">• Self-administered Faecal occult blood test (FOBT)</w:t>
            </w:r>
            <w:r>
              <w:br/>
            </w:r>
            <w:r>
              <w:rPr>
                <w:rStyle w:val="row-content-rich-text"/>
              </w:rPr>
              <w:t xml:space="preserve">• the National Register functions including letters of invitation and reminders (Commonwealth to provide costs)</w:t>
            </w:r>
            <w:r>
              <w:br/>
            </w:r>
            <w:r>
              <w:rPr>
                <w:rStyle w:val="row-content-rich-text"/>
              </w:rPr>
              <w:t xml:space="preserve">• follow up assessment colonoscopy services (public and private)</w:t>
            </w:r>
            <w:r>
              <w:br/>
            </w:r>
            <w:r>
              <w:rPr>
                <w:rStyle w:val="row-content-rich-text"/>
              </w:rPr>
              <w:t xml:space="preserve">• follow up officers (state-based/Commonwealth funded) tests for analysis</w:t>
            </w:r>
            <w:r>
              <w:br/>
            </w:r>
            <w:r>
              <w:rPr>
                <w:rStyle w:val="row-content-rich-text"/>
              </w:rPr>
              <w:t xml:space="preserve">• program coordination and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preventing or reducing harmful 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pStyle w:val="ListParagraph"/>
              <w:numPr>
                <w:ilvl w:val="0"/>
                <w:numId w:val="4"/>
              </w:numPr>
            </w:pPr>
            <w:r>
              <w:rPr>
                <w:rStyle w:val="row-content-rich-text"/>
              </w:rPr>
              <w:t xml:space="preserve">Alcohol</w:t>
            </w:r>
          </w:p>
          <w:p>
            <w:pPr>
              <w:pStyle w:val="ListParagraph"/>
              <w:numPr>
                <w:ilvl w:val="0"/>
                <w:numId w:val="4"/>
              </w:numPr>
            </w:pPr>
            <w:r>
              <w:rPr>
                <w:rStyle w:val="row-content-rich-text"/>
              </w:rPr>
              <w:t xml:space="preserve">Tobacco</w:t>
            </w:r>
          </w:p>
          <w:p>
            <w:pPr>
              <w:pStyle w:val="ListParagraph"/>
              <w:numPr>
                <w:ilvl w:val="0"/>
                <w:numId w:val="4"/>
              </w:numPr>
            </w:pPr>
            <w:r>
              <w:rPr>
                <w:rStyle w:val="row-content-rich-text"/>
              </w:rPr>
              <w:t xml:space="preserve">Illicit and other drugs of dependence</w:t>
            </w:r>
          </w:p>
          <w:p>
            <w:pPr>
              <w:pStyle w:val="ListParagraph"/>
              <w:numPr>
                <w:ilvl w:val="0"/>
                <w:numId w:val="4"/>
              </w:numPr>
            </w:pPr>
            <w:r>
              <w:rPr>
                <w:rStyle w:val="row-content-rich-text"/>
              </w:rPr>
              <w:t xml:space="preserve">Mixed.</w:t>
            </w:r>
          </w:p>
          <w:p>
            <w:pPr>
              <w:spacing w:after="160"/>
            </w:pPr>
            <w:r>
              <w:rPr>
                <w:rStyle w:val="row-content-rich-text"/>
                <w:i/>
              </w:rPr>
              <w:t xml:space="preserve">Alcohol</w:t>
            </w:r>
          </w:p>
          <w:p>
            <w:pPr>
              <w:spacing w:after="160"/>
            </w:pPr>
            <w:r>
              <w:rPr>
                <w:rStyle w:val="row-content-rich-text"/>
              </w:rPr>
              <w:t xml:space="preserve">Inclusions</w:t>
            </w:r>
            <w:r>
              <w:br/>
            </w:r>
            <w:r>
              <w:rPr>
                <w:rStyle w:val="row-content-rich-text"/>
              </w:rPr>
              <w:t xml:space="preserve">• alcohol regulation, labelling, control and licensing</w:t>
            </w:r>
            <w:r>
              <w:br/>
            </w:r>
            <w:r>
              <w:rPr>
                <w:rStyle w:val="row-content-rich-text"/>
              </w:rPr>
              <w:t xml:space="preserve">• prevention strategies to encourage low risk alcohol use (as described in NHMRC guidelines) and discourage harmful use</w:t>
            </w:r>
            <w:r>
              <w:br/>
            </w:r>
            <w:r>
              <w:rPr>
                <w:rStyle w:val="row-content-rich-text"/>
              </w:rPr>
              <w:t xml:space="preserve">• formulating alcohol policy</w:t>
            </w:r>
            <w:r>
              <w:br/>
            </w:r>
            <w:r>
              <w:rPr>
                <w:rStyle w:val="row-content-rich-text"/>
              </w:rPr>
              <w:t xml:space="preserve">• social marketing</w:t>
            </w:r>
            <w:r>
              <w:br/>
            </w:r>
            <w:r>
              <w:rPr>
                <w:rStyle w:val="row-content-rich-text"/>
              </w:rPr>
              <w:t xml:space="preserve">• alcohol harm reduction strategies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alcohol interventions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Tobacco</w:t>
            </w:r>
          </w:p>
          <w:p>
            <w:pPr>
              <w:spacing w:after="160"/>
            </w:pPr>
            <w:r>
              <w:rPr>
                <w:rStyle w:val="row-content-rich-text"/>
              </w:rPr>
              <w:t xml:space="preserve">Inclusions</w:t>
            </w:r>
            <w:r>
              <w:br/>
            </w:r>
            <w:r>
              <w:rPr>
                <w:rStyle w:val="row-content-rich-text"/>
              </w:rPr>
              <w:t xml:space="preserve">• formulating tobacco policy</w:t>
            </w:r>
            <w:r>
              <w:br/>
            </w:r>
            <w:r>
              <w:rPr>
                <w:rStyle w:val="row-content-rich-text"/>
              </w:rPr>
              <w:t xml:space="preserve">• social marketing</w:t>
            </w:r>
            <w:r>
              <w:br/>
            </w:r>
            <w:r>
              <w:rPr>
                <w:rStyle w:val="row-content-rich-text"/>
              </w:rPr>
              <w:t xml:space="preserve">• smoke free policies in the workplace</w:t>
            </w:r>
            <w:r>
              <w:br/>
            </w:r>
            <w:r>
              <w:rPr>
                <w:rStyle w:val="row-content-rich-text"/>
              </w:rPr>
              <w:t xml:space="preserve">• policies relating to smoke-free eating places and other public facilities</w:t>
            </w:r>
            <w:r>
              <w:br/>
            </w:r>
            <w:r>
              <w:rPr>
                <w:rStyle w:val="row-content-rich-text"/>
              </w:rPr>
              <w:t xml:space="preserve">• tobacco control legislation and enforcement</w:t>
            </w:r>
            <w:r>
              <w:br/>
            </w:r>
            <w:r>
              <w:rPr>
                <w:rStyle w:val="row-content-rich-text"/>
              </w:rPr>
              <w:t xml:space="preserve">• quit smoking programs such as Quitline</w:t>
            </w:r>
            <w:r>
              <w:br/>
            </w:r>
            <w:r>
              <w:rPr>
                <w:rStyle w:val="row-content-rich-text"/>
              </w:rPr>
              <w:t xml:space="preserve">• smoking prevention strategies for children and youth</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activities designated as treatment services.</w:t>
            </w:r>
          </w:p>
          <w:p>
            <w:pPr>
              <w:spacing w:after="160"/>
            </w:pPr>
            <w:r>
              <w:rPr>
                <w:rStyle w:val="row-content-rich-text"/>
                <w:i/>
              </w:rPr>
              <w:t xml:space="preserve">Illicit and other drugs of dependence</w:t>
            </w:r>
          </w:p>
          <w:p>
            <w:pPr>
              <w:spacing w:after="160"/>
            </w:pPr>
            <w:r>
              <w:rPr>
                <w:rStyle w:val="row-content-rich-text"/>
              </w:rPr>
              <w:t xml:space="preserve">Inclusions</w:t>
            </w:r>
            <w:r>
              <w:br/>
            </w:r>
            <w:r>
              <w:rPr>
                <w:rStyle w:val="row-content-rich-text"/>
              </w:rPr>
              <w:t xml:space="preserve">• policy and health promotion strategies to discourage illicit drug use</w:t>
            </w:r>
            <w:r>
              <w:br/>
            </w:r>
            <w:r>
              <w:rPr>
                <w:rStyle w:val="row-content-rich-text"/>
              </w:rPr>
              <w:t xml:space="preserve">• social marketing</w:t>
            </w:r>
            <w:r>
              <w:br/>
            </w:r>
            <w:r>
              <w:rPr>
                <w:rStyle w:val="row-content-rich-text"/>
              </w:rPr>
              <w:t xml:space="preserve">• control activity to limit supply and availability for misuse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illicit drug interventions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Mixed</w:t>
            </w:r>
          </w:p>
          <w:p>
            <w:pPr>
              <w:spacing w:after="160"/>
            </w:pPr>
            <w:r>
              <w:rPr>
                <w:rStyle w:val="row-content-rich-text"/>
              </w:rPr>
              <w:t xml:space="preserve">Inclusions</w:t>
            </w:r>
            <w:r>
              <w:br/>
            </w:r>
            <w:r>
              <w:rPr>
                <w:rStyle w:val="row-content-rich-text"/>
              </w:rPr>
              <w:t xml:space="preserve">• social marketing</w:t>
            </w:r>
            <w:r>
              <w:br/>
            </w:r>
            <w:r>
              <w:rPr>
                <w:rStyle w:val="row-content-rich-text"/>
              </w:rPr>
              <w:t xml:space="preserve">• policy and health promotion strategies to improve behaviour</w:t>
            </w:r>
            <w:r>
              <w:br/>
            </w:r>
            <w:r>
              <w:rPr>
                <w:rStyle w:val="row-content-rich-text"/>
              </w:rPr>
              <w:t xml:space="preserve">• public health activities with regard to poly drug 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anti-drug and alcohol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rPr>
              <w:t xml:space="preserve">CODE 410   Public health – Public health research</w:t>
            </w:r>
          </w:p>
          <w:p>
            <w:pPr>
              <w:spacing w:after="160"/>
            </w:pPr>
            <w:r>
              <w:rPr>
                <w:rStyle w:val="row-content-rich-text"/>
              </w:rPr>
              <w:t xml:space="preserve">Research and development (R and D) is defined according to the OECD standard as comprising creative work undertaken on a systematic basis in order to increase the stock of knowledge, including knowledge of man, culture and society, and the use of this stock of knowledge to devise new applications. An R and D activity is characterised by originality. It has investigation as a primary objective, the outcome of which is new knowledge, with or without a specific application, or new or improved materials, product, devices, processes or services. R and D ends when work is no longer primarily investigative. (Pink &amp; Geoff 2008).</w:t>
            </w:r>
            <w:r>
              <w:br/>
            </w:r>
            <w:r>
              <w:rPr>
                <w:rStyle w:val="row-content-rich-text"/>
              </w:rPr>
              <w:t xml:space="preserve"> </w:t>
            </w:r>
          </w:p>
          <w:p>
            <w:pPr>
              <w:spacing w:after="160"/>
            </w:pPr>
            <w:r>
              <w:rPr>
                <w:rStyle w:val="row-content-rich-text"/>
              </w:rPr>
              <w:t xml:space="preserve">Inclusions</w:t>
            </w:r>
            <w:r>
              <w:br/>
            </w:r>
            <w:r>
              <w:rPr>
                <w:rStyle w:val="row-content-rich-text"/>
              </w:rPr>
              <w:t xml:space="preserve">• </w:t>
            </w:r>
            <w:r>
              <w:rPr>
                <w:rStyle w:val="row-content-rich-text"/>
                <w:i/>
              </w:rPr>
              <w:t xml:space="preserve">Communicable disease control</w:t>
            </w:r>
            <w:r>
              <w:rPr>
                <w:rStyle w:val="row-content-rich-text"/>
              </w:rPr>
              <w:t xml:space="preserve"> research</w:t>
            </w:r>
            <w:r>
              <w:br/>
            </w:r>
            <w:r>
              <w:rPr>
                <w:rStyle w:val="row-content-rich-text"/>
              </w:rPr>
              <w:t xml:space="preserve">• </w:t>
            </w:r>
            <w:r>
              <w:rPr>
                <w:rStyle w:val="row-content-rich-text"/>
                <w:i/>
              </w:rPr>
              <w:t xml:space="preserve">Selected health promotion</w:t>
            </w:r>
            <w:r>
              <w:rPr>
                <w:rStyle w:val="row-content-rich-text"/>
              </w:rPr>
              <w:t xml:space="preserve"> research</w:t>
            </w:r>
            <w:r>
              <w:br/>
            </w:r>
            <w:r>
              <w:rPr>
                <w:rStyle w:val="row-content-rich-text"/>
              </w:rPr>
              <w:t xml:space="preserve">• </w:t>
            </w:r>
            <w:r>
              <w:rPr>
                <w:rStyle w:val="row-content-rich-text"/>
                <w:i/>
              </w:rPr>
              <w:t xml:space="preserve">Organised immunisation</w:t>
            </w:r>
            <w:r>
              <w:rPr>
                <w:rStyle w:val="row-content-rich-text"/>
              </w:rPr>
              <w:t xml:space="preserve"> research</w:t>
            </w:r>
            <w:r>
              <w:br/>
            </w:r>
            <w:r>
              <w:rPr>
                <w:rStyle w:val="row-content-rich-text"/>
              </w:rPr>
              <w:t xml:space="preserve">• </w:t>
            </w:r>
            <w:r>
              <w:rPr>
                <w:rStyle w:val="row-content-rich-text"/>
                <w:i/>
              </w:rPr>
              <w:t xml:space="preserve">Environmental health</w:t>
            </w:r>
            <w:r>
              <w:rPr>
                <w:rStyle w:val="row-content-rich-text"/>
              </w:rPr>
              <w:t xml:space="preserve"> research</w:t>
            </w:r>
            <w:r>
              <w:br/>
            </w:r>
            <w:r>
              <w:rPr>
                <w:rStyle w:val="row-content-rich-text"/>
              </w:rPr>
              <w:t xml:space="preserve">• </w:t>
            </w:r>
            <w:r>
              <w:rPr>
                <w:rStyle w:val="row-content-rich-text"/>
                <w:i/>
              </w:rPr>
              <w:t xml:space="preserve">Food standards and hygiene</w:t>
            </w:r>
            <w:r>
              <w:rPr>
                <w:rStyle w:val="row-content-rich-text"/>
              </w:rPr>
              <w:t xml:space="preserve"> research</w:t>
            </w:r>
            <w:r>
              <w:br/>
            </w:r>
            <w:r>
              <w:rPr>
                <w:rStyle w:val="row-content-rich-text"/>
              </w:rPr>
              <w:t xml:space="preserve">• </w:t>
            </w:r>
            <w:r>
              <w:rPr>
                <w:rStyle w:val="row-content-rich-text"/>
                <w:i/>
              </w:rPr>
              <w:t xml:space="preserve">Breast cancer screening</w:t>
            </w:r>
            <w:r>
              <w:rPr>
                <w:rStyle w:val="row-content-rich-text"/>
              </w:rPr>
              <w:t xml:space="preserve"> research</w:t>
            </w:r>
            <w:r>
              <w:br/>
            </w:r>
            <w:r>
              <w:rPr>
                <w:rStyle w:val="row-content-rich-text"/>
              </w:rPr>
              <w:t xml:space="preserve">• Cervical screening research</w:t>
            </w:r>
            <w:r>
              <w:br/>
            </w:r>
            <w:r>
              <w:rPr>
                <w:rStyle w:val="row-content-rich-text"/>
              </w:rPr>
              <w:t xml:space="preserve">• Prevention of hazardous and harmful drug use research</w:t>
            </w:r>
            <w:r>
              <w:br/>
            </w:r>
            <w:r>
              <w:rPr>
                <w:rStyle w:val="row-content-rich-text"/>
              </w:rPr>
              <w:t xml:space="preserve">• Population health surveys</w:t>
            </w:r>
            <w:r>
              <w:br/>
            </w:r>
            <w:r>
              <w:rPr>
                <w:rStyle w:val="row-content-rich-text"/>
              </w:rPr>
              <w:t xml:space="preserve">• health status research</w:t>
            </w:r>
            <w:r>
              <w:br/>
            </w:r>
            <w:r>
              <w:rPr>
                <w:rStyle w:val="row-content-rich-text"/>
              </w:rPr>
              <w:t xml:space="preserve">• Major public health research which cannot be allocated to one of the above categories.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public health evaluations</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Codes 401 to 410 but which could not be further disaggregated.</w:t>
            </w:r>
          </w:p>
          <w:p>
            <w:pPr>
              <w:spacing w:after="160"/>
            </w:pPr>
            <w:r>
              <w:rPr>
                <w:rStyle w:val="row-content-rich-text"/>
              </w:rPr>
              <w:t xml:space="preserve">CODE 501   Health-related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 Service, CareFlight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Health-related care – Patient transport subsidies</w:t>
            </w:r>
          </w:p>
          <w:p>
            <w:pPr>
              <w:spacing w:after="160"/>
            </w:pPr>
            <w:r>
              <w:rPr>
                <w:rStyle w:val="row-content-rich-text"/>
              </w:rPr>
              <w:t xml:space="preserve">Government subsidies to private ambulance services, for example,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taxis, when the latter is authorised and the costs are reimbursed to the patient (for example, for patients undergoing renal dialysis or chemotherapy).</w:t>
            </w:r>
          </w:p>
          <w:p>
            <w:pPr>
              <w:spacing w:after="160"/>
            </w:pPr>
            <w:r>
              <w:rPr>
                <w:rStyle w:val="row-content-rich-text"/>
              </w:rPr>
              <w:t xml:space="preserve">CODE 503   Health-related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and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health-related care reported under Codes 501 to 506 and health assessments provided under the Aged Care Assessment Program which are reported under Code 602.</w:t>
            </w:r>
          </w:p>
          <w:p>
            <w:pPr>
              <w:spacing w:after="160"/>
            </w:pPr>
            <w:r>
              <w:rPr>
                <w:rStyle w:val="row-content-rich-text"/>
              </w:rPr>
              <w:t xml:space="preserve">CODE 599   Health-related care – Not further defined</w:t>
            </w:r>
          </w:p>
          <w:p>
            <w:pPr>
              <w:spacing w:after="160"/>
            </w:pPr>
            <w:r>
              <w:rPr>
                <w:rStyle w:val="row-content-rich-text"/>
              </w:rPr>
              <w:t xml:space="preserve">Comprises health-related care that could be a combination of Codes 501 to 506 but which could not be further disaggregated.</w:t>
            </w:r>
          </w:p>
          <w:p>
            <w:pPr>
              <w:spacing w:after="160"/>
            </w:pPr>
            <w:r>
              <w:rPr>
                <w:rStyle w:val="row-content-rich-text"/>
              </w:rPr>
              <w:t xml:space="preserve">State and territory health authorities are only to report health-related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Home and Community Care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603.</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Codes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Pink, B. &amp; Geoff, B. 2008. Australian and New Zealand standard research classification (ANZSRC). ABS Cat. no. 1297.0. Canberra: ABS.</w:t>
            </w:r>
          </w:p>
          <w:p>
            <w:pPr>
              <w:spacing w:after="160"/>
            </w:pPr>
            <w:r>
              <w:rPr>
                <w:rStyle w:val="row-content-rich-text"/>
              </w:rPr>
              <w:t xml:space="preserve">Australian Government Department of Health and Ageing. Medicare Benefits Schedule Book. Viewed 1 November 2006, </w:t>
            </w:r>
            <w:hyperlink w:history="true" r:id="R6fb9df0b4df0453a">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ce8292e10240a0">
              <w:r>
                <w:rPr>
                  <w:rStyle w:val="Hyperlink"/>
                </w:rPr>
                <w:t xml:space="preserve">Health or health related function code NNN</w:t>
              </w:r>
            </w:hyperlink>
          </w:p>
          <w:p>
            <w:pPr>
              <w:pStyle w:val="registration-status"/>
              <w:spacing w:before="0" w:after="0"/>
            </w:pPr>
            <w:hyperlink w:history="true" r:id="R5e6d4e3f74194ada">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1dd8bca80946fc">
              <w:r>
                <w:rPr>
                  <w:rStyle w:val="Hyperlink"/>
                </w:rPr>
                <w:t xml:space="preserve">Organisation—type of health or health-related function, code NNN</w:t>
              </w:r>
            </w:hyperlink>
          </w:p>
          <w:p>
            <w:pPr>
              <w:pStyle w:val="registration-status"/>
              <w:spacing w:before="0" w:after="0"/>
            </w:pPr>
            <w:hyperlink w:history="true" r:id="R05a6b6e2e7d548ed">
              <w:r>
                <w:rPr>
                  <w:rStyle w:val="Hyperlink"/>
                  <w:color w:val="244061"/>
                </w:rPr>
                <w:t xml:space="preserve">Health!</w:t>
              </w:r>
            </w:hyperlink>
            <w:r>
              <w:rPr>
                <w:rStyle w:val="row-content"/>
                <w:color w:val="244061"/>
              </w:rPr>
              <w:t xml:space="preserve">, Standard 04/12/2013</w:t>
            </w:r>
          </w:p>
          <w:p>
            <w:r>
              <w:br/>
            </w:r>
          </w:p>
        </w:tc>
      </w:tr>
    </w:tbl>
    <w:p>
      <w:r>
        <w:br/>
      </w:r>
    </w:p>
    <w:sectPr>
      <w:footerReference xmlns:r="http://schemas.openxmlformats.org/officeDocument/2006/relationships" w:type="default" r:id="R126dcd6204a9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533043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04b9b38b8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dcd6204a94e86" /><Relationship Type="http://schemas.openxmlformats.org/officeDocument/2006/relationships/header" Target="/word/header1.xml" Id="R8fd844d595a7460f" /><Relationship Type="http://schemas.openxmlformats.org/officeDocument/2006/relationships/settings" Target="/word/settings.xml" Id="R3870efecc2d242e6" /><Relationship Type="http://schemas.openxmlformats.org/officeDocument/2006/relationships/styles" Target="/word/styles.xml" Id="Rb8f2e76fcaad4d8b" /><Relationship Type="http://schemas.openxmlformats.org/officeDocument/2006/relationships/numbering" Target="/word/numbering.xml" Id="Ra4c3e87990dd4c7c" /><Relationship Type="http://schemas.openxmlformats.org/officeDocument/2006/relationships/hyperlink" Target="https://meteor-uat.aihw.gov.au/RegistrationAuthority/14" TargetMode="External" Id="Red6e408802dd4a3d" /><Relationship Type="http://schemas.openxmlformats.org/officeDocument/2006/relationships/hyperlink" Target="https://meteor-uat.aihw.gov.au/content/327206" TargetMode="External" Id="R4c583e8215914852" /><Relationship Type="http://schemas.openxmlformats.org/officeDocument/2006/relationships/hyperlink" Target="https://meteor-uat.aihw.gov.au/content/354366" TargetMode="External" Id="R44dfa437124b41fa" /><Relationship Type="http://schemas.openxmlformats.org/officeDocument/2006/relationships/hyperlink" Target="https://meteor-uat.aihw.gov.au/content/336980" TargetMode="External" Id="Rcf4de8b8fb104ee8" /><Relationship Type="http://schemas.openxmlformats.org/officeDocument/2006/relationships/hyperlink" Target="https://meteor-uat.aihw.gov.au/content/327158" TargetMode="External" Id="Rb89451340ae84124" /><Relationship Type="http://schemas.openxmlformats.org/officeDocument/2006/relationships/hyperlink" Target="https://meteor-uat.aihw.gov.au/content/327308" TargetMode="External" Id="Rd4712f3f9b88412b" /><Relationship Type="http://schemas.openxmlformats.org/officeDocument/2006/relationships/hyperlink" Target="https://meteor-uat.aihw.gov.au/content/524972" TargetMode="External" Id="R25754b1ed4c74245" /><Relationship Type="http://schemas.openxmlformats.org/officeDocument/2006/relationships/hyperlink" Target="https://meteor-uat.aihw.gov.au/content/373049" TargetMode="External" Id="R8257e952c00749a3" /><Relationship Type="http://schemas.openxmlformats.org/officeDocument/2006/relationships/hyperlink" Target="https://meteor-uat.aihw.gov.au/content/354366" TargetMode="External" Id="R1963fe185a4d47f7" /><Relationship Type="http://schemas.openxmlformats.org/officeDocument/2006/relationships/hyperlink" Target="https://meteor-uat.aihw.gov.au/content/327228" TargetMode="External" Id="Ra002df385158488c" /><Relationship Type="http://schemas.openxmlformats.org/officeDocument/2006/relationships/hyperlink" Target="https://meteor-uat.aihw.gov.au/content/352234" TargetMode="External" Id="R7c170f57f98446b6" /><Relationship Type="http://schemas.openxmlformats.org/officeDocument/2006/relationships/hyperlink" Target="http://www.health.gov.au/mbsonline" TargetMode="External" Id="R6fb9df0b4df0453a" /><Relationship Type="http://schemas.openxmlformats.org/officeDocument/2006/relationships/hyperlink" Target="https://meteor-uat.aihw.gov.au/content/352162" TargetMode="External" Id="R6bce8292e10240a0" /><Relationship Type="http://schemas.openxmlformats.org/officeDocument/2006/relationships/hyperlink" Target="https://meteor-uat.aihw.gov.au/RegistrationAuthority/14" TargetMode="External" Id="R5e6d4e3f74194ada" /><Relationship Type="http://schemas.openxmlformats.org/officeDocument/2006/relationships/hyperlink" Target="https://meteor-uat.aihw.gov.au/content/533041" TargetMode="External" Id="Ra01dd8bca80946fc" /><Relationship Type="http://schemas.openxmlformats.org/officeDocument/2006/relationships/hyperlink" Target="https://meteor-uat.aihw.gov.au/RegistrationAuthority/14" TargetMode="External" Id="R05a6b6e2e7d548ed" /></Relationships>
</file>

<file path=word/_rels/header1.xml.rels>&#65279;<?xml version="1.0" encoding="utf-8"?><Relationships xmlns="http://schemas.openxmlformats.org/package/2006/relationships"><Relationship Type="http://schemas.openxmlformats.org/officeDocument/2006/relationships/image" Target="/media/image.png" Id="R23304b9b38b84acf" /></Relationships>
</file>