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fc0678e2e34d8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b5c1401e244791">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(1a): Number of women who gave birth, where an antenatal visit was reported in the first trimester, as a proportion of women who gave birth,</w:t>
            </w:r>
          </w:p>
          <w:p>
            <w:pPr>
              <w:spacing w:after="160"/>
            </w:pPr>
            <w:r>
              <w:rPr>
                <w:rStyle w:val="row-content-rich-text"/>
              </w:rPr>
              <w:t xml:space="preserve">and</w:t>
            </w:r>
          </w:p>
          <w:p>
            <w:pPr/>
            <w:r>
              <w:rPr>
                <w:rStyle w:val="row-content-rich-text"/>
              </w:rPr>
              <w:t xml:space="preserve">(1b):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e9b5911e7242c7">
              <w:r>
                <w:rPr>
                  <w:rStyle w:val="Hyperlink"/>
                </w:rPr>
                <w:t xml:space="preserve">National Indigenous Reform Agreement (2014)</w:t>
              </w:r>
            </w:hyperlink>
          </w:p>
          <w:p>
            <w:pPr>
              <w:pStyle w:val="registration-status"/>
              <w:spacing w:before="0" w:after="0"/>
            </w:pPr>
            <w:hyperlink w:history="true" r:id="R84ce84bbaed6416d">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bebbf3071af4f5a">
              <w:r>
                <w:rPr>
                  <w:rStyle w:val="Hyperlink"/>
                </w:rPr>
                <w:t xml:space="preserve">Indigenous children are born and remain healthy</w:t>
              </w:r>
            </w:hyperlink>
          </w:p>
          <w:p>
            <w:pPr>
              <w:pStyle w:val="registration-status"/>
              <w:spacing w:before="0" w:after="0"/>
            </w:pPr>
            <w:hyperlink w:history="true" r:id="Ree5efcc822a64be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29086ccc2ca44d7">
              <w:r>
                <w:rPr>
                  <w:rStyle w:val="Hyperlink"/>
                </w:rPr>
                <w:t xml:space="preserve">National Indigenous Reform Agreement: PI 09-Antenatal care, 2014 QS</w:t>
              </w:r>
            </w:hyperlink>
          </w:p>
          <w:p>
            <w:pPr>
              <w:pStyle w:val="registration-status"/>
              <w:spacing w:before="0" w:after="0"/>
            </w:pPr>
            <w:hyperlink w:history="true" r:id="R69a8e5c7ee23442d">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Variability bands are to be calculated for rates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(percentage), rate ratios, rate differences and variability bands.</w:t>
            </w:r>
          </w:p>
          <w:p>
            <w:pPr>
              <w:spacing w:after="160"/>
            </w:pPr>
            <w:r>
              <w:rPr>
                <w:rStyle w:val="row-content-rich-text"/>
              </w:rPr>
              <w:t xml:space="preserve">First trimester is defined as before 14 weeks of pregnancy.</w:t>
            </w:r>
          </w:p>
          <w:p>
            <w:pPr>
              <w:spacing w:after="160"/>
            </w:pPr>
            <w:r>
              <w:rPr>
                <w:rStyle w:val="row-content-rich-text"/>
              </w:rPr>
              <w:t xml:space="preserve">Excludes non-residents of external territories and where the state/territory of residence was not stated.</w:t>
            </w:r>
          </w:p>
          <w:p>
            <w:pPr>
              <w:spacing w:after="160"/>
            </w:pPr>
            <w:r>
              <w:rPr>
                <w:rStyle w:val="row-content-rich-text"/>
              </w:rPr>
              <w:t xml:space="preserve">Excludes records with missing data for gestation at first antenatal visit.</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years to 40-44 years using the Australian female population who gave birth in the current reporting period as the standard. Age-standardisation should be done in accordance with the NIRAPIMG agreed principles for direct age-standardisation (see Comments section. Note that Principle 1 and Principle 4 are not applicable for this indicator).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620bab47630340c3">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620bab47630340c3"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2111de13a2046e1"/>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w:t>
            </w:r>
            <w:r>
              <w:rPr>
                <w:rStyle w:val="row-content-rich-text"/>
              </w:rPr>
              <w:t xml:space="preserve"> = crude rate for either Measure 1a or Measure 1b</w:t>
            </w:r>
          </w:p>
          <w:p>
            <w:pPr>
              <w:spacing w:after="160"/>
            </w:pPr>
            <w:r>
              <w:rPr>
                <w:rStyle w:val="row-content-rich-text"/>
                <w:i/>
              </w:rPr>
              <w:t xml:space="preserve">n</w:t>
            </w:r>
            <w:r>
              <w:rPr>
                <w:rStyle w:val="row-content-rich-text"/>
              </w:rPr>
              <w:t xml:space="preserve"> = crude rate denominator for either Measure 1a or Measure 1b.</w:t>
            </w:r>
          </w:p>
          <w:p>
            <w:pPr>
              <w:spacing w:after="160"/>
            </w:pPr>
            <w:r>
              <w:rPr>
                <w:rStyle w:val="row-content-rich-text"/>
                <w:i/>
              </w:rPr>
              <w:t xml:space="preserve">Age-standardised rate:</w:t>
            </w:r>
          </w:p>
          <w:p>
            <w:hyperlink w:history="true" r:id="R40d5735144cd43e1">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40d5735144cd43e1"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f93232dde024fd5"/>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1a or Measure 1b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1a or Measure 1b respectively (see Denominator below)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number of women who gave birth where an antenatal visit was reported in the first trimester (up to and including 13 completed weeks), for at least one live or stillborn baby.</w:t>
            </w:r>
          </w:p>
          <w:p>
            <w:pPr/>
            <w:r>
              <w:rPr>
                <w:rStyle w:val="row-content-rich-text"/>
                <w:u w:val="single"/>
              </w:rPr>
              <w:t xml:space="preserve">Measure (1b):</w:t>
            </w:r>
            <w:r>
              <w:rPr>
                <w:rStyle w:val="row-content-rich-text"/>
              </w:rPr>
              <w:t xml:space="preserve"> number of women who gave birth where five or more antenatal visits were reported for pregnancy of 32 or more weeks gestation, for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eb9fd0a8ad4bef">
              <w:r>
                <w:rPr>
                  <w:rStyle w:val="Hyperlink"/>
                </w:rPr>
                <w:t xml:space="preserve">Female (pregnant)—estimated gestational age, total weeks NN</w:t>
              </w:r>
            </w:hyperlink>
          </w:p>
          <w:p>
            <w:r>
              <w:rPr>
                <w:rStyle w:val="row-content"/>
                <w:b/>
              </w:rPr>
              <w:t xml:space="preserve">Data Source</w:t>
            </w:r>
          </w:p>
          <w:p>
            <w:hyperlink w:history="true" r:id="R281c4db3e987469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d6854a0e3e4a08">
              <w:r>
                <w:rPr>
                  <w:rStyle w:val="Hyperlink"/>
                </w:rPr>
                <w:t xml:space="preserve">Pregnancy—estimated duration (at the first visit for antenatal care), completed weeks N[N]</w:t>
              </w:r>
            </w:hyperlink>
          </w:p>
          <w:p>
            <w:r>
              <w:rPr>
                <w:rStyle w:val="row-content"/>
                <w:b/>
              </w:rPr>
              <w:t xml:space="preserve">Data Source</w:t>
            </w:r>
          </w:p>
          <w:p>
            <w:hyperlink w:history="true" r:id="R0c789e9283bd428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ea4da2d5a24371">
              <w:r>
                <w:rPr>
                  <w:rStyle w:val="Hyperlink"/>
                </w:rPr>
                <w:t xml:space="preserve">Female—number of antenatal care visits, total N[N]</w:t>
              </w:r>
            </w:hyperlink>
          </w:p>
          <w:p>
            <w:r>
              <w:rPr>
                <w:rStyle w:val="row-content"/>
                <w:b/>
              </w:rPr>
              <w:t xml:space="preserve">Data Source</w:t>
            </w:r>
          </w:p>
          <w:p>
            <w:hyperlink w:history="true" r:id="Raff432d15fd94a9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for at least one live or stillborn baby (where gestation at first antenatal visit is known).</w:t>
            </w:r>
          </w:p>
          <w:p>
            <w:pPr/>
            <w:r>
              <w:rPr>
                <w:rStyle w:val="row-content-rich-text"/>
                <w:u w:val="single"/>
              </w:rPr>
              <w:t xml:space="preserve">Measure (1b):</w:t>
            </w:r>
            <w:r>
              <w:rPr>
                <w:rStyle w:val="row-content-rich-text"/>
              </w:rPr>
              <w:t xml:space="preserve"> total number of women who gave birth at 32 weeks or more gestation, for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3bc426e5ee40a8">
              <w:r>
                <w:rPr>
                  <w:rStyle w:val="Hyperlink"/>
                </w:rPr>
                <w:t xml:space="preserve">Female (pregnant)—estimated gestational age, total weeks NN</w:t>
              </w:r>
            </w:hyperlink>
          </w:p>
          <w:p>
            <w:r>
              <w:rPr>
                <w:rStyle w:val="row-content"/>
                <w:b/>
              </w:rPr>
              <w:t xml:space="preserve">Data Source</w:t>
            </w:r>
          </w:p>
          <w:p>
            <w:hyperlink w:history="true" r:id="R8fadae0bb1ff495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00bb4a38f14a69">
              <w:r>
                <w:rPr>
                  <w:rStyle w:val="Hyperlink"/>
                </w:rPr>
                <w:t xml:space="preserve">Pregnancy—estimated duration (at the first visit for antenatal care), completed weeks N[N]</w:t>
              </w:r>
            </w:hyperlink>
          </w:p>
          <w:p>
            <w:r>
              <w:rPr>
                <w:rStyle w:val="row-content"/>
                <w:b/>
              </w:rPr>
              <w:t xml:space="preserve">Data Source</w:t>
            </w:r>
          </w:p>
          <w:p>
            <w:hyperlink w:history="true" r:id="R50abc305a19a44f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add9a6452545d6">
              <w:r>
                <w:rPr>
                  <w:rStyle w:val="Hyperlink"/>
                </w:rPr>
                <w:t xml:space="preserve">Female—number of antenatal care visits, total N[N]</w:t>
              </w:r>
            </w:hyperlink>
          </w:p>
          <w:p>
            <w:r>
              <w:rPr>
                <w:rStyle w:val="row-content"/>
                <w:b/>
              </w:rPr>
              <w:t xml:space="preserve">Data Source</w:t>
            </w:r>
          </w:p>
          <w:p>
            <w:hyperlink w:history="true" r:id="Rce62b4336b8f498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(2011):</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 (including sub-total for jurisdictions reported for baseline year) and remoteness area.</w:t>
            </w:r>
          </w:p>
          <w:p>
            <w:pPr>
              <w:spacing w:after="160"/>
            </w:pPr>
            <w:r>
              <w:rPr>
                <w:rStyle w:val="row-content-rich-text"/>
                <w:b/>
              </w:rPr>
              <w:t xml:space="preserve">Time series </w:t>
            </w:r>
            <w:r>
              <w:rPr>
                <w:rStyle w:val="row-content-rich-text"/>
              </w:rPr>
              <w:t xml:space="preserve">– 2007, 2008, 2009, 2010 (the data for these years have been previously supplied), 2011 (required for 2014 reporting):</w:t>
            </w:r>
          </w:p>
          <w:p>
            <w:pPr>
              <w:spacing w:after="160"/>
            </w:pPr>
            <w:r>
              <w:rPr>
                <w:rStyle w:val="row-content-rich-text"/>
              </w:rPr>
              <w:t xml:space="preserve">For Indigenous and non-Indigenous (numbers, age-standardised rates, rate ratio, rate difference, percentage change, variability bands and statistical significance of change):</w:t>
            </w:r>
          </w:p>
          <w:p>
            <w:pPr>
              <w:pStyle w:val="ListParagraph"/>
              <w:numPr>
                <w:ilvl w:val="0"/>
                <w:numId w:val="3"/>
              </w:numPr>
            </w:pPr>
            <w:r>
              <w:rPr>
                <w:rStyle w:val="row-content-rich-text"/>
              </w:rPr>
              <w:t xml:space="preserve">National and state/territory (including sub-total for jurisdictions reported for baseline year) and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8caa410f214efe">
              <w:r>
                <w:rPr>
                  <w:rStyle w:val="Hyperlink"/>
                </w:rPr>
                <w:t xml:space="preserve">Person—Indigenous status, code N</w:t>
              </w:r>
            </w:hyperlink>
          </w:p>
          <w:p>
            <w:r>
              <w:rPr>
                <w:rStyle w:val="row-content"/>
                <w:b/>
              </w:rPr>
              <w:t xml:space="preserve">Data Source</w:t>
            </w:r>
          </w:p>
          <w:p>
            <w:hyperlink w:history="true" r:id="R0d97f54832cd4e1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0a9c1a10364c93">
              <w:r>
                <w:rPr>
                  <w:rStyle w:val="Hyperlink"/>
                </w:rPr>
                <w:t xml:space="preserve">Person—area of usual residence, statistical area level 2 (SA2) code (ASGS 2011) N(9)</w:t>
              </w:r>
            </w:hyperlink>
          </w:p>
          <w:p>
            <w:r>
              <w:rPr>
                <w:rStyle w:val="row-content"/>
                <w:b/>
              </w:rPr>
              <w:t xml:space="preserve">Data Source</w:t>
            </w:r>
          </w:p>
          <w:p>
            <w:hyperlink w:history="true" r:id="R2cd705590fe6424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CRC report is 2011.</w:t>
            </w:r>
          </w:p>
          <w:p>
            <w:pPr>
              <w:spacing w:after="160"/>
            </w:pPr>
            <w:r>
              <w:rPr>
                <w:rStyle w:val="row-content-rich-text"/>
              </w:rPr>
              <w:t xml:space="preserve">There were no data elements in the Perinatal national minimum data set (NMDS) for antenatal care prior to July 2010, however some information is obtained as part of the National Perinatal Data Collection (NPDC).</w:t>
            </w:r>
          </w:p>
          <w:p>
            <w:pPr>
              <w:spacing w:after="160"/>
            </w:pPr>
            <w:r>
              <w:rPr>
                <w:rStyle w:val="row-content-rich-text"/>
              </w:rPr>
              <w:t xml:space="preserve">Information is included in the NPDC and the Perinatal NMDS for all live births and still births of at least 400 grams birthweight or at least 20 weeks gestation.</w:t>
            </w:r>
          </w:p>
          <w:p>
            <w:pPr>
              <w:spacing w:after="160"/>
            </w:pPr>
            <w:r>
              <w:rPr>
                <w:rStyle w:val="row-content-rich-text"/>
              </w:rPr>
              <w:t xml:space="preserve">Data on gestation at first visit (1a) are only available to report for NSW, Qld, WA, SA, ACT and NT for births from January 2010, and for Victoria and Tasmania for births from 1 July 2010; and data on number of antenatal visits (1b) are only available to report for Qld, SA and NT for 2014 reporting.</w:t>
            </w:r>
          </w:p>
          <w:p>
            <w:pPr>
              <w:spacing w:after="160"/>
            </w:pPr>
            <w:r>
              <w:rPr>
                <w:rStyle w:val="row-content-rich-text"/>
              </w:rPr>
              <w:t xml:space="preserve">Analysis by state/territory is based on usual residence of the mother.</w:t>
            </w:r>
          </w:p>
          <w:p>
            <w:pPr>
              <w:spacing w:after="160"/>
            </w:pPr>
            <w:r>
              <w:rPr>
                <w:rStyle w:val="row-content-rich-text"/>
              </w:rPr>
              <w:t xml:space="preserve">Comparability between data currently collected for births before July 2010 may be limited by different definitions of first antenatal visit.</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f4a23d7d654cd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90b0294d7c0450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 pending the development and implementation of standard data definitions.</w:t>
            </w:r>
          </w:p>
          <w:p>
            <w:pPr>
              <w:spacing w:after="160"/>
            </w:pPr>
            <w:r>
              <w:rPr>
                <w:rStyle w:val="row-content-rich-text"/>
              </w:rPr>
              <w:t xml:space="preserve">A standard data item for gestation at first presentation for antenatal care has been developed and included in the Perinatal NMDS from 1 July 2010.</w:t>
            </w:r>
          </w:p>
          <w:p>
            <w:pPr/>
            <w:r>
              <w:rPr>
                <w:rStyle w:val="row-content-rich-text"/>
              </w:rPr>
              <w:t xml:space="preserve">A standard data items for number of antenatal visits has been developed and included in the Perinatal NMDS from 1 July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f6e923659f40e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789d4fc8d7422c">
              <w:r>
                <w:rPr>
                  <w:rStyle w:val="Hyperlink"/>
                </w:rPr>
                <w:t xml:space="preserve">National Indigenous Reform Agreement: PI 09-Antenatal care, 2013</w:t>
              </w:r>
            </w:hyperlink>
          </w:p>
          <w:p>
            <w:pPr>
              <w:pStyle w:val="registration-status"/>
              <w:spacing w:before="0" w:after="0"/>
            </w:pPr>
            <w:hyperlink w:history="true" r:id="R2ebc6c177ae54f2f">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ec0be130875b4339">
              <w:r>
                <w:rPr>
                  <w:rStyle w:val="Hyperlink"/>
                </w:rPr>
                <w:t xml:space="preserve">National Indigenous Reform Agreement: PI 09-Antenatal care, 2015</w:t>
              </w:r>
            </w:hyperlink>
          </w:p>
          <w:p>
            <w:pPr>
              <w:pStyle w:val="registration-status"/>
              <w:spacing w:before="0" w:after="0"/>
            </w:pPr>
            <w:hyperlink w:history="true" r:id="R2624481510b64da2">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4acabcc2372343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2aae792dad45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cabcc237234320" /><Relationship Type="http://schemas.openxmlformats.org/officeDocument/2006/relationships/header" Target="/word/header1.xml" Id="R01ca01c321dc4cfa" /><Relationship Type="http://schemas.openxmlformats.org/officeDocument/2006/relationships/settings" Target="/word/settings.xml" Id="Rfcfd8e4df7784937" /><Relationship Type="http://schemas.openxmlformats.org/officeDocument/2006/relationships/styles" Target="/word/styles.xml" Id="R7f52995895544570" /><Relationship Type="http://schemas.openxmlformats.org/officeDocument/2006/relationships/image" Target="/media/image.jpg" Id="Rb2111de13a2046e1" /><Relationship Type="http://schemas.openxmlformats.org/officeDocument/2006/relationships/image" Target="/media/image2.jpg" Id="Rcf93232dde024fd5" /><Relationship Type="http://schemas.openxmlformats.org/officeDocument/2006/relationships/numbering" Target="/word/numbering.xml" Id="R15be04621a6a4dcb" /><Relationship Type="http://schemas.openxmlformats.org/officeDocument/2006/relationships/hyperlink" Target="https://meteor-uat.aihw.gov.au/RegistrationAuthority/9" TargetMode="External" Id="R6ab5c1401e244791" /><Relationship Type="http://schemas.openxmlformats.org/officeDocument/2006/relationships/hyperlink" Target="https://meteor-uat.aihw.gov.au/content/525754" TargetMode="External" Id="R09e9b5911e7242c7" /><Relationship Type="http://schemas.openxmlformats.org/officeDocument/2006/relationships/hyperlink" Target="https://meteor-uat.aihw.gov.au/RegistrationAuthority/9" TargetMode="External" Id="R84ce84bbaed6416d" /><Relationship Type="http://schemas.openxmlformats.org/officeDocument/2006/relationships/hyperlink" Target="https://meteor-uat.aihw.gov.au/content/396166" TargetMode="External" Id="R5bebbf3071af4f5a" /><Relationship Type="http://schemas.openxmlformats.org/officeDocument/2006/relationships/hyperlink" Target="https://meteor-uat.aihw.gov.au/RegistrationAuthority/9" TargetMode="External" Id="Ree5efcc822a64be6" /><Relationship Type="http://schemas.openxmlformats.org/officeDocument/2006/relationships/hyperlink" Target="https://meteor-uat.aihw.gov.au/content/567202" TargetMode="External" Id="R029086ccc2ca44d7" /><Relationship Type="http://schemas.openxmlformats.org/officeDocument/2006/relationships/hyperlink" Target="https://meteor-uat.aihw.gov.au/RegistrationAuthority/9" TargetMode="External" Id="R69a8e5c7ee23442d" /><Relationship Type="http://schemas.openxmlformats.org/officeDocument/2006/relationships/hyperlink" Target="https://meteor-uat.aihw.gov.au/content/523388" TargetMode="External" Id="R620bab47630340c3" /><Relationship Type="http://schemas.openxmlformats.org/officeDocument/2006/relationships/hyperlink" Target="https://meteor-uat.aihw.gov.au/content/495211" TargetMode="External" Id="R40d5735144cd43e1" /><Relationship Type="http://schemas.openxmlformats.org/officeDocument/2006/relationships/hyperlink" Target="https://meteor-uat.aihw.gov.au/content/269965" TargetMode="External" Id="R40eb9fd0a8ad4bef" /><Relationship Type="http://schemas.openxmlformats.org/officeDocument/2006/relationships/hyperlink" Target="https://meteor-uat.aihw.gov.au/content/392479" TargetMode="External" Id="R281c4db3e9874691" /><Relationship Type="http://schemas.openxmlformats.org/officeDocument/2006/relationships/hyperlink" Target="https://meteor-uat.aihw.gov.au/content/379597" TargetMode="External" Id="R00d6854a0e3e4a08" /><Relationship Type="http://schemas.openxmlformats.org/officeDocument/2006/relationships/hyperlink" Target="https://meteor-uat.aihw.gov.au/content/392479" TargetMode="External" Id="R0c789e9283bd428f" /><Relationship Type="http://schemas.openxmlformats.org/officeDocument/2006/relationships/hyperlink" Target="https://meteor-uat.aihw.gov.au/content/423828" TargetMode="External" Id="R96ea4da2d5a24371" /><Relationship Type="http://schemas.openxmlformats.org/officeDocument/2006/relationships/hyperlink" Target="https://meteor-uat.aihw.gov.au/content/392479" TargetMode="External" Id="Raff432d15fd94a93" /><Relationship Type="http://schemas.openxmlformats.org/officeDocument/2006/relationships/hyperlink" Target="https://meteor-uat.aihw.gov.au/content/269965" TargetMode="External" Id="R143bc426e5ee40a8" /><Relationship Type="http://schemas.openxmlformats.org/officeDocument/2006/relationships/hyperlink" Target="https://meteor-uat.aihw.gov.au/content/392479" TargetMode="External" Id="R8fadae0bb1ff4956" /><Relationship Type="http://schemas.openxmlformats.org/officeDocument/2006/relationships/hyperlink" Target="https://meteor-uat.aihw.gov.au/content/379597" TargetMode="External" Id="Rda00bb4a38f14a69" /><Relationship Type="http://schemas.openxmlformats.org/officeDocument/2006/relationships/hyperlink" Target="https://meteor-uat.aihw.gov.au/content/392479" TargetMode="External" Id="R50abc305a19a44f6" /><Relationship Type="http://schemas.openxmlformats.org/officeDocument/2006/relationships/hyperlink" Target="https://meteor-uat.aihw.gov.au/content/423828" TargetMode="External" Id="R72add9a6452545d6" /><Relationship Type="http://schemas.openxmlformats.org/officeDocument/2006/relationships/hyperlink" Target="https://meteor-uat.aihw.gov.au/content/392479" TargetMode="External" Id="Rce62b4336b8f4985" /><Relationship Type="http://schemas.openxmlformats.org/officeDocument/2006/relationships/hyperlink" Target="https://meteor-uat.aihw.gov.au/content/291036" TargetMode="External" Id="R318caa410f214efe" /><Relationship Type="http://schemas.openxmlformats.org/officeDocument/2006/relationships/hyperlink" Target="https://meteor-uat.aihw.gov.au/content/392479" TargetMode="External" Id="R0d97f54832cd4e1b" /><Relationship Type="http://schemas.openxmlformats.org/officeDocument/2006/relationships/hyperlink" Target="https://meteor-uat.aihw.gov.au/content/469909" TargetMode="External" Id="R6e0a9c1a10364c93" /><Relationship Type="http://schemas.openxmlformats.org/officeDocument/2006/relationships/hyperlink" Target="https://meteor-uat.aihw.gov.au/content/392479" TargetMode="External" Id="R2cd705590fe6424e" /><Relationship Type="http://schemas.openxmlformats.org/officeDocument/2006/relationships/hyperlink" Target="https://meteor-uat.aihw.gov.au/content/410681" TargetMode="External" Id="Rf6f4a23d7d654cd2" /><Relationship Type="http://schemas.openxmlformats.org/officeDocument/2006/relationships/hyperlink" Target="https://meteor-uat.aihw.gov.au/content/392479" TargetMode="External" Id="R290b0294d7c04501" /><Relationship Type="http://schemas.openxmlformats.org/officeDocument/2006/relationships/hyperlink" Target="https://meteor-uat.aihw.gov.au/content/410271" TargetMode="External" Id="Ra5f6e923659f40e2" /><Relationship Type="http://schemas.openxmlformats.org/officeDocument/2006/relationships/hyperlink" Target="https://meteor-uat.aihw.gov.au/content/484317" TargetMode="External" Id="Rf8789d4fc8d7422c" /><Relationship Type="http://schemas.openxmlformats.org/officeDocument/2006/relationships/hyperlink" Target="https://meteor-uat.aihw.gov.au/RegistrationAuthority/9" TargetMode="External" Id="R2ebc6c177ae54f2f" /><Relationship Type="http://schemas.openxmlformats.org/officeDocument/2006/relationships/hyperlink" Target="https://meteor-uat.aihw.gov.au/content/579080" TargetMode="External" Id="Rec0be130875b4339" /><Relationship Type="http://schemas.openxmlformats.org/officeDocument/2006/relationships/hyperlink" Target="https://meteor-uat.aihw.gov.au/RegistrationAuthority/9" TargetMode="External" Id="R2624481510b64da2" /></Relationships>
</file>

<file path=word/_rels/header1.xml.rels>&#65279;<?xml version="1.0" encoding="utf-8"?><Relationships xmlns="http://schemas.openxmlformats.org/package/2006/relationships"><Relationship Type="http://schemas.openxmlformats.org/officeDocument/2006/relationships/image" Target="/media/image.png" Id="Rc82aae792dad45be" /></Relationships>
</file>