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7099d7e5d545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70839ead24c67">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a6cd19e8ac49ee">
              <w:r>
                <w:rPr>
                  <w:rStyle w:val="Hyperlink"/>
                </w:rPr>
                <w:t xml:space="preserve">National Indigenous Reform Agreement (2014)</w:t>
              </w:r>
            </w:hyperlink>
          </w:p>
          <w:p>
            <w:pPr>
              <w:pStyle w:val="registration-status"/>
              <w:spacing w:before="0" w:after="0"/>
            </w:pPr>
            <w:hyperlink w:history="true" r:id="Rf23eeeb72a184bea">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8be94e8a394ac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ce353579b9b44d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cb25c8838c419a">
              <w:r>
                <w:rPr>
                  <w:rStyle w:val="Hyperlink"/>
                </w:rPr>
                <w:t xml:space="preserve">National Indigenous Reform Agreement: PI 12a-Attainment of Year 12 or equivalent (Census data), 2014 QS</w:t>
              </w:r>
            </w:hyperlink>
          </w:p>
          <w:p>
            <w:pPr>
              <w:pStyle w:val="registration-status"/>
              <w:spacing w:before="0" w:after="0"/>
            </w:pPr>
            <w:hyperlink w:history="true" r:id="R8a9e5b9de55a471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7cd1fa7c7483b">
              <w:r>
                <w:rPr>
                  <w:rStyle w:val="Hyperlink"/>
                </w:rPr>
                <w:t xml:space="preserve">Person—age, total years N[NN]</w:t>
              </w:r>
            </w:hyperlink>
          </w:p>
          <w:p>
            <w:r>
              <w:rPr>
                <w:rStyle w:val="row-content"/>
                <w:b/>
              </w:rPr>
              <w:t xml:space="preserve">Data Source</w:t>
            </w:r>
          </w:p>
          <w:p>
            <w:hyperlink w:history="true" r:id="R9a24e97d147b40b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26abc7f87da14a91">
              <w:r>
                <w:rPr>
                  <w:rStyle w:val="Hyperlink"/>
                </w:rPr>
                <w:t xml:space="preserve">Person—level of highest educational attainment, code NN</w:t>
              </w:r>
            </w:hyperlink>
          </w:p>
          <w:p>
            <w:r>
              <w:rPr>
                <w:rStyle w:val="row-content"/>
                <w:b/>
              </w:rPr>
              <w:t xml:space="preserve">Data Source</w:t>
            </w:r>
          </w:p>
          <w:p>
            <w:hyperlink w:history="true" r:id="R166dd23c6573481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cc4fa437264989">
              <w:r>
                <w:rPr>
                  <w:rStyle w:val="Hyperlink"/>
                </w:rPr>
                <w:t xml:space="preserve">Person—age, total years N[NN]</w:t>
              </w:r>
            </w:hyperlink>
          </w:p>
          <w:p>
            <w:r>
              <w:rPr>
                <w:rStyle w:val="row-content"/>
                <w:b/>
              </w:rPr>
              <w:t xml:space="preserve">Data Source</w:t>
            </w:r>
          </w:p>
          <w:p>
            <w:hyperlink w:history="true" r:id="R7dbc8bf545e84dc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d257fca32dc846d7">
              <w:r>
                <w:rPr>
                  <w:rStyle w:val="Hyperlink"/>
                </w:rPr>
                <w:t xml:space="preserve">Person—estimated resident population of Australia, total people N[N(7)]</w:t>
              </w:r>
            </w:hyperlink>
          </w:p>
          <w:p>
            <w:r>
              <w:rPr>
                <w:rStyle w:val="row-content"/>
                <w:b/>
              </w:rPr>
              <w:t xml:space="preserve">Data Source</w:t>
            </w:r>
          </w:p>
          <w:p>
            <w:hyperlink w:history="true" r:id="R3296c8cba523457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88e8a0ecf343d9">
              <w:r>
                <w:rPr>
                  <w:rStyle w:val="Hyperlink"/>
                </w:rPr>
                <w:t xml:space="preserve">Person—Indigenous status, code N</w:t>
              </w:r>
            </w:hyperlink>
          </w:p>
          <w:p>
            <w:r>
              <w:rPr>
                <w:rStyle w:val="row-content"/>
                <w:b/>
              </w:rPr>
              <w:t xml:space="preserve">Data Source</w:t>
            </w:r>
          </w:p>
          <w:p>
            <w:hyperlink w:history="true" r:id="R071814058ce5456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428fca7d5a146fb">
              <w:r>
                <w:rPr>
                  <w:rStyle w:val="Hyperlink"/>
                </w:rPr>
                <w:t xml:space="preserve">Person—area of usual residence, statistical area level 2 (SA2) code (ASGS 2011) N(9)</w:t>
              </w:r>
            </w:hyperlink>
          </w:p>
          <w:p>
            <w:r>
              <w:rPr>
                <w:rStyle w:val="row-content"/>
                <w:b/>
              </w:rPr>
              <w:t xml:space="preserve">Data Source</w:t>
            </w:r>
          </w:p>
          <w:p>
            <w:hyperlink w:history="true" r:id="R3e3eb5f5dbc34d0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59d057946644b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0af40ea1e405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4739a7d583421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ea9c60d2442e9">
              <w:r>
                <w:rPr>
                  <w:rStyle w:val="Hyperlink"/>
                </w:rPr>
                <w:t xml:space="preserve">National Indigenous Reform Agreement: PI 12a-Attainment of Year 12 or equivalent (Census data), 2013</w:t>
              </w:r>
            </w:hyperlink>
          </w:p>
          <w:p>
            <w:pPr>
              <w:pStyle w:val="registration-status"/>
              <w:spacing w:before="0" w:after="0"/>
            </w:pPr>
            <w:hyperlink w:history="true" r:id="Rf9ce62e177e2483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6159ea32629a41e8">
              <w:r>
                <w:rPr>
                  <w:rStyle w:val="Hyperlink"/>
                </w:rPr>
                <w:t xml:space="preserve">National Indigenous Reform Agreement: PI 12a-Attainment of Year 12 or equivalent (Census data), 2015</w:t>
              </w:r>
            </w:hyperlink>
          </w:p>
          <w:p>
            <w:pPr>
              <w:pStyle w:val="registration-status"/>
              <w:spacing w:before="0" w:after="0"/>
            </w:pPr>
            <w:hyperlink w:history="true" r:id="Rfa99b63344e44ba2">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2068e35ae6fe4197">
              <w:r>
                <w:rPr>
                  <w:rStyle w:val="Hyperlink"/>
                </w:rPr>
                <w:t xml:space="preserve">National Indigenous Reform Agreement: PI 12b-Attainment of Year 12 or equivalent (survey data), 2014</w:t>
              </w:r>
            </w:hyperlink>
          </w:p>
          <w:p>
            <w:pPr>
              <w:pStyle w:val="registration-status"/>
              <w:spacing w:before="0" w:after="0"/>
            </w:pPr>
            <w:hyperlink w:history="true" r:id="R301b7a57a0f5491a">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d05fdec0a39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ada773288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5fdec0a394915" /><Relationship Type="http://schemas.openxmlformats.org/officeDocument/2006/relationships/header" Target="/word/header1.xml" Id="R9784203a00be4518" /><Relationship Type="http://schemas.openxmlformats.org/officeDocument/2006/relationships/settings" Target="/word/settings.xml" Id="Rcb6d013b7c8a456e" /><Relationship Type="http://schemas.openxmlformats.org/officeDocument/2006/relationships/styles" Target="/word/styles.xml" Id="R7be08ceb29d94428" /><Relationship Type="http://schemas.openxmlformats.org/officeDocument/2006/relationships/numbering" Target="/word/numbering.xml" Id="R8e0336d15be840cb" /><Relationship Type="http://schemas.openxmlformats.org/officeDocument/2006/relationships/hyperlink" Target="https://meteor-uat.aihw.gov.au/RegistrationAuthority/9" TargetMode="External" Id="Re6970839ead24c67" /><Relationship Type="http://schemas.openxmlformats.org/officeDocument/2006/relationships/hyperlink" Target="https://meteor-uat.aihw.gov.au/content/525754" TargetMode="External" Id="Ra8a6cd19e8ac49ee" /><Relationship Type="http://schemas.openxmlformats.org/officeDocument/2006/relationships/hyperlink" Target="https://meteor-uat.aihw.gov.au/RegistrationAuthority/9" TargetMode="External" Id="Rf23eeeb72a184bea" /><Relationship Type="http://schemas.openxmlformats.org/officeDocument/2006/relationships/hyperlink" Target="https://meteor-uat.aihw.gov.au/content/396173" TargetMode="External" Id="R408be94e8a394ac5" /><Relationship Type="http://schemas.openxmlformats.org/officeDocument/2006/relationships/hyperlink" Target="https://meteor-uat.aihw.gov.au/RegistrationAuthority/9" TargetMode="External" Id="R0ce353579b9b44d0" /><Relationship Type="http://schemas.openxmlformats.org/officeDocument/2006/relationships/hyperlink" Target="https://meteor-uat.aihw.gov.au/content/567222" TargetMode="External" Id="R0ecb25c8838c419a" /><Relationship Type="http://schemas.openxmlformats.org/officeDocument/2006/relationships/hyperlink" Target="https://meteor-uat.aihw.gov.au/RegistrationAuthority/9" TargetMode="External" Id="R8a9e5b9de55a4718" /><Relationship Type="http://schemas.openxmlformats.org/officeDocument/2006/relationships/hyperlink" Target="https://meteor-uat.aihw.gov.au/content/303794" TargetMode="External" Id="Rfaf7cd1fa7c7483b" /><Relationship Type="http://schemas.openxmlformats.org/officeDocument/2006/relationships/hyperlink" Target="https://meteor-uat.aihw.gov.au/content/481876" TargetMode="External" Id="R9a24e97d147b40b5" /><Relationship Type="http://schemas.openxmlformats.org/officeDocument/2006/relationships/hyperlink" Target="https://meteor-uat.aihw.gov.au/content/321069" TargetMode="External" Id="R26abc7f87da14a91" /><Relationship Type="http://schemas.openxmlformats.org/officeDocument/2006/relationships/hyperlink" Target="https://meteor-uat.aihw.gov.au/content/481876" TargetMode="External" Id="R166dd23c6573481d" /><Relationship Type="http://schemas.openxmlformats.org/officeDocument/2006/relationships/hyperlink" Target="https://meteor-uat.aihw.gov.au/content/303794" TargetMode="External" Id="Rf5cc4fa437264989" /><Relationship Type="http://schemas.openxmlformats.org/officeDocument/2006/relationships/hyperlink" Target="https://meteor-uat.aihw.gov.au/content/481876" TargetMode="External" Id="R7dbc8bf545e84dc1" /><Relationship Type="http://schemas.openxmlformats.org/officeDocument/2006/relationships/hyperlink" Target="https://meteor-uat.aihw.gov.au/content/388656" TargetMode="External" Id="Rd257fca32dc846d7" /><Relationship Type="http://schemas.openxmlformats.org/officeDocument/2006/relationships/hyperlink" Target="https://meteor-uat.aihw.gov.au/content/481876" TargetMode="External" Id="R3296c8cba5234573" /><Relationship Type="http://schemas.openxmlformats.org/officeDocument/2006/relationships/hyperlink" Target="https://meteor-uat.aihw.gov.au/content/291036" TargetMode="External" Id="R3a88e8a0ecf343d9" /><Relationship Type="http://schemas.openxmlformats.org/officeDocument/2006/relationships/hyperlink" Target="https://meteor-uat.aihw.gov.au/content/481876" TargetMode="External" Id="R071814058ce5456e" /><Relationship Type="http://schemas.openxmlformats.org/officeDocument/2006/relationships/hyperlink" Target="https://meteor-uat.aihw.gov.au/content/469909" TargetMode="External" Id="R0428fca7d5a146fb" /><Relationship Type="http://schemas.openxmlformats.org/officeDocument/2006/relationships/hyperlink" Target="https://meteor-uat.aihw.gov.au/content/481876" TargetMode="External" Id="R3e3eb5f5dbc34d09" /><Relationship Type="http://schemas.openxmlformats.org/officeDocument/2006/relationships/hyperlink" Target="https://meteor-uat.aihw.gov.au/content/410674" TargetMode="External" Id="R4359d057946644b7" /><Relationship Type="http://schemas.openxmlformats.org/officeDocument/2006/relationships/hyperlink" Target="https://meteor-uat.aihw.gov.au/content/481876" TargetMode="External" Id="R50e0af40ea1e405f" /><Relationship Type="http://schemas.openxmlformats.org/officeDocument/2006/relationships/hyperlink" Target="https://meteor-uat.aihw.gov.au/content/410271" TargetMode="External" Id="R074739a7d5834217" /><Relationship Type="http://schemas.openxmlformats.org/officeDocument/2006/relationships/hyperlink" Target="https://meteor-uat.aihw.gov.au/content/484358" TargetMode="External" Id="R557ea9c60d2442e9" /><Relationship Type="http://schemas.openxmlformats.org/officeDocument/2006/relationships/hyperlink" Target="https://meteor-uat.aihw.gov.au/RegistrationAuthority/9" TargetMode="External" Id="Rf9ce62e177e2483b" /><Relationship Type="http://schemas.openxmlformats.org/officeDocument/2006/relationships/hyperlink" Target="https://meteor-uat.aihw.gov.au/content/579092" TargetMode="External" Id="R6159ea32629a41e8" /><Relationship Type="http://schemas.openxmlformats.org/officeDocument/2006/relationships/hyperlink" Target="https://meteor-uat.aihw.gov.au/RegistrationAuthority/9" TargetMode="External" Id="Rfa99b63344e44ba2" /><Relationship Type="http://schemas.openxmlformats.org/officeDocument/2006/relationships/hyperlink" Target="https://meteor-uat.aihw.gov.au/content/525816" TargetMode="External" Id="R2068e35ae6fe4197" /><Relationship Type="http://schemas.openxmlformats.org/officeDocument/2006/relationships/hyperlink" Target="https://meteor-uat.aihw.gov.au/RegistrationAuthority/9" TargetMode="External" Id="R301b7a57a0f5491a" /></Relationships>
</file>

<file path=word/_rels/header1.xml.rels>&#65279;<?xml version="1.0" encoding="utf-8"?><Relationships xmlns="http://schemas.openxmlformats.org/package/2006/relationships"><Relationship Type="http://schemas.openxmlformats.org/officeDocument/2006/relationships/image" Target="/media/image.png" Id="R0b8ada7732884b88" /></Relationships>
</file>