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410d832b8404807"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15a-Proportion of Indigenous 20-64 year olds with or working towards a post-school qualification in Certificate level III or above, (Census data) 2014</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15a-Proportion of Indigenous 20-64 year olds with or working towards a post-school qualification in Certificate level III or above, (Census data)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15a-Proportion of Indigenous 20-64 year olds with or working towards a post-school qualification in Certificate level III or above (Census data),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525738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be065346415436f">
              <w:r>
                <w:rPr>
                  <w:rStyle w:val="Hyperlink"/>
                  <w:color w:val="244061"/>
                </w:rPr>
                <w:t xml:space="preserve">Indigenous</w:t>
              </w:r>
            </w:hyperlink>
            <w:r>
              <w:rPr>
                <w:rStyle w:val="row-content"/>
                <w:color w:val="244061"/>
              </w:rPr>
              <w:t xml:space="preserve">, Superseded 24/11/2014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people aged 20–64 years with, or working towards, post-school qualifications in Australian Qualifications Framework (AQF) Certificate level III or above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Post-secondary education leads to better employment prospects and for Indigenous persons will help to achieve the target to halve the gap in employment outcomes within a decade.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f7bd17dd8754af6">
              <w:r>
                <w:rPr>
                  <w:rStyle w:val="Hyperlink"/>
                </w:rPr>
                <w:t xml:space="preserve">National Indigenous Reform Agreement (2014)</w:t>
              </w:r>
            </w:hyperlink>
          </w:p>
          <w:p>
            <w:pPr>
              <w:pStyle w:val="registration-status"/>
              <w:spacing w:before="0" w:after="0"/>
            </w:pPr>
            <w:hyperlink w:history="true" r:id="R4b7f8771cabd4868">
              <w:r>
                <w:rPr>
                  <w:rStyle w:val="Hyperlink"/>
                  <w:color w:val="244061"/>
                </w:rPr>
                <w:t xml:space="preserve">Indigenous</w:t>
              </w:r>
            </w:hyperlink>
            <w:r>
              <w:rPr>
                <w:rStyle w:val="row-content"/>
                <w:color w:val="244061"/>
              </w:rPr>
              <w:t xml:space="preserve">, Superseded 24/11/2014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e2576a2131b24560">
              <w:r>
                <w:rPr>
                  <w:rStyle w:val="Hyperlink"/>
                </w:rPr>
                <w:t xml:space="preserve">The Indigenous workforce age population has the depth and breadth of skills and capabilities required for the 21st century labour market</w:t>
              </w:r>
            </w:hyperlink>
          </w:p>
          <w:p>
            <w:pPr>
              <w:pStyle w:val="registration-status"/>
              <w:spacing w:before="0" w:after="0"/>
            </w:pPr>
            <w:hyperlink w:history="true" r:id="R4b51cdc3941343db">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b61f695bfb574b08">
              <w:r>
                <w:rPr>
                  <w:rStyle w:val="Hyperlink"/>
                </w:rPr>
                <w:t xml:space="preserve">National Indigenous Reform Agreement: PI 15a-Proportion of Indigenous 20-64 year olds with or working towards a post-school qualification in Certificate level III or above, (Census data) 2014 QS</w:t>
              </w:r>
            </w:hyperlink>
          </w:p>
          <w:p>
            <w:pPr>
              <w:pStyle w:val="registration-status"/>
              <w:spacing w:before="0" w:after="0"/>
            </w:pPr>
            <w:hyperlink w:history="true" r:id="R363edef69eaa4559">
              <w:r>
                <w:rPr>
                  <w:rStyle w:val="Hyperlink"/>
                  <w:color w:val="244061"/>
                </w:rPr>
                <w:t xml:space="preserve">Indigenous</w:t>
              </w:r>
            </w:hyperlink>
            <w:r>
              <w:rPr>
                <w:rStyle w:val="row-content"/>
                <w:color w:val="244061"/>
              </w:rPr>
              <w:t xml:space="preserve">, Superseded 17/02/2016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Presentation: Number and percentage (per 100 persons).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People aged 20–64 years who have attained post-school qualifications in AQF Certificate level III or above, or are currently studying a non-school qualification.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Level of current study</w:t>
            </w:r>
          </w:p>
          <w:p>
            <w:r>
              <w:rPr>
                <w:rStyle w:val="row-content"/>
                <w:b/>
              </w:rPr>
              <w:t xml:space="preserve">Data Source</w:t>
            </w:r>
          </w:p>
          <w:p>
            <w:hyperlink w:history="true" r:id="R28a49826e1da4107">
              <w:r>
                <w:rPr>
                  <w:rStyle w:val="Hyperlink"/>
                </w:rPr>
                <w:t xml:space="preserve">ABS 2011 Census of Population and Housing</w:t>
              </w:r>
            </w:hyperlink>
          </w:p>
          <w:p>
            <w:r>
              <w:rPr>
                <w:rStyle w:val="row-content"/>
                <w:b/>
              </w:rPr>
              <w:t xml:space="preserve">Guide for use</w:t>
            </w:r>
          </w:p>
          <w:p>
            <w:r>
              <w:rPr>
                <w:rStyle w:val="row-content"/>
              </w:rPr>
              <w:t xml:space="preserve">Data source type: Census</w:t>
            </w:r>
          </w:p>
          <w:p>
            <w:r>
              <w:rPr>
                <w:rStyle w:val="row-content"/>
              </w:rPr>
              <w:t xml:space="preserve"> </w:t>
            </w:r>
          </w:p>
          <w:p>
            <w:r>
              <w:rPr>
                <w:rStyle w:val="row-content"/>
                <w:b/>
                <w:color w:val="000000"/>
              </w:rPr>
              <w:t xml:space="preserve">Data Element / Data Set</w:t>
            </w:r>
          </w:p>
          <w:p>
            <w:hyperlink w:history="true" r:id="Rbcffb3bbee564430">
              <w:r>
                <w:rPr>
                  <w:rStyle w:val="Hyperlink"/>
                </w:rPr>
                <w:t xml:space="preserve">Person—age, total years N[NN]</w:t>
              </w:r>
            </w:hyperlink>
          </w:p>
          <w:p>
            <w:r>
              <w:rPr>
                <w:rStyle w:val="row-content"/>
                <w:b/>
              </w:rPr>
              <w:t xml:space="preserve">Data Source</w:t>
            </w:r>
          </w:p>
          <w:p>
            <w:hyperlink w:history="true" r:id="Rbe2074ccdf4a403d">
              <w:r>
                <w:rPr>
                  <w:rStyle w:val="Hyperlink"/>
                </w:rPr>
                <w:t xml:space="preserve">ABS 2011 Census of Population and Housing</w:t>
              </w:r>
            </w:hyperlink>
          </w:p>
          <w:p>
            <w:r>
              <w:rPr>
                <w:rStyle w:val="row-content"/>
                <w:b/>
              </w:rPr>
              <w:t xml:space="preserve">Guide for use</w:t>
            </w:r>
          </w:p>
          <w:p>
            <w:r>
              <w:rPr>
                <w:rStyle w:val="row-content"/>
              </w:rPr>
              <w:t xml:space="preserve">Data source type: Census</w:t>
            </w:r>
          </w:p>
          <w:p>
            <w:r>
              <w:rPr>
                <w:rStyle w:val="row-content"/>
              </w:rPr>
              <w:t xml:space="preserve"> </w:t>
            </w:r>
          </w:p>
          <w:p>
            <w:r>
              <w:rPr>
                <w:rStyle w:val="row-content"/>
                <w:b/>
                <w:color w:val="000000"/>
              </w:rPr>
              <w:t xml:space="preserve">Data Element / Data Set</w:t>
            </w:r>
          </w:p>
          <w:p>
            <w:hyperlink w:history="true" r:id="Rf67088e03c7a4353">
              <w:r>
                <w:rPr>
                  <w:rStyle w:val="Hyperlink"/>
                </w:rPr>
                <w:t xml:space="preserve">Person—level of highest educational attainment, code NN</w:t>
              </w:r>
            </w:hyperlink>
          </w:p>
          <w:p>
            <w:r>
              <w:rPr>
                <w:rStyle w:val="row-content"/>
                <w:b/>
              </w:rPr>
              <w:t xml:space="preserve">Data Source</w:t>
            </w:r>
          </w:p>
          <w:p>
            <w:hyperlink w:history="true" r:id="R57a71281d6d34cf5">
              <w:r>
                <w:rPr>
                  <w:rStyle w:val="Hyperlink"/>
                </w:rPr>
                <w:t xml:space="preserve">ABS 2011 Census of Population and Housing</w:t>
              </w:r>
            </w:hyperlink>
          </w:p>
          <w:p>
            <w:r>
              <w:rPr>
                <w:rStyle w:val="row-content"/>
                <w:b/>
              </w:rPr>
              <w:t xml:space="preserve">Guide for use</w:t>
            </w:r>
          </w:p>
          <w:p>
            <w:r>
              <w:rPr>
                <w:rStyle w:val="row-content"/>
              </w:rPr>
              <w:t xml:space="preserve">Data source type: Census</w:t>
            </w:r>
          </w:p>
          <w:p>
            <w:r>
              <w:rPr>
                <w:rStyle w:val="row-content"/>
              </w:rPr>
              <w:t xml:space="preserve"> </w:t>
            </w:r>
          </w:p>
          <w:p>
            <w:r>
              <w:rPr>
                <w:rStyle w:val="row-content"/>
                <w:b/>
                <w:color w:val="000000"/>
              </w:rPr>
              <w:t xml:space="preserve">Data Element / Data Set</w:t>
            </w:r>
          </w:p>
          <w:p>
            <w:hyperlink w:history="true" r:id="R8625448645fc4bd8">
              <w:r>
                <w:rPr>
                  <w:rStyle w:val="Hyperlink"/>
                </w:rPr>
                <w:t xml:space="preserve">Person—student/employment training indicator, code N</w:t>
              </w:r>
            </w:hyperlink>
          </w:p>
          <w:p>
            <w:r>
              <w:rPr>
                <w:rStyle w:val="row-content"/>
                <w:b/>
              </w:rPr>
              <w:t xml:space="preserve">Data Source</w:t>
            </w:r>
          </w:p>
          <w:p>
            <w:hyperlink w:history="true" r:id="Rdaf34ad6dde74ef2">
              <w:r>
                <w:rPr>
                  <w:rStyle w:val="Hyperlink"/>
                </w:rPr>
                <w:t xml:space="preserve">ABS 2011 Census of Population and Housing</w:t>
              </w:r>
            </w:hyperlink>
          </w:p>
          <w:p>
            <w:r>
              <w:rPr>
                <w:rStyle w:val="row-content"/>
                <w:b/>
              </w:rPr>
              <w:t xml:space="preserve">Guide for use</w:t>
            </w:r>
          </w:p>
          <w:p>
            <w:r>
              <w:rPr>
                <w:rStyle w:val="row-content"/>
              </w:rPr>
              <w:t xml:space="preserve">Data source type: Census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(Indigenous and non-Indigenous) aged 20–64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192697491764cab">
              <w:r>
                <w:rPr>
                  <w:rStyle w:val="Hyperlink"/>
                </w:rPr>
                <w:t xml:space="preserve">Person—age, total years N[NN]</w:t>
              </w:r>
            </w:hyperlink>
          </w:p>
          <w:p>
            <w:r>
              <w:rPr>
                <w:rStyle w:val="row-content"/>
                <w:b/>
              </w:rPr>
              <w:t xml:space="preserve">Data Source</w:t>
            </w:r>
          </w:p>
          <w:p>
            <w:hyperlink w:history="true" r:id="Ra0d897e80ea94975">
              <w:r>
                <w:rPr>
                  <w:rStyle w:val="Hyperlink"/>
                </w:rPr>
                <w:t xml:space="preserve">ABS 2011 Census of Population and Housing</w:t>
              </w:r>
            </w:hyperlink>
          </w:p>
          <w:p>
            <w:r>
              <w:rPr>
                <w:rStyle w:val="row-content"/>
                <w:b/>
              </w:rPr>
              <w:t xml:space="preserve">Guide for use</w:t>
            </w:r>
          </w:p>
          <w:p>
            <w:r>
              <w:rPr>
                <w:rStyle w:val="row-content"/>
              </w:rPr>
              <w:t xml:space="preserve">Data source type: Census</w:t>
            </w:r>
          </w:p>
          <w:p>
            <w:r>
              <w:rPr>
                <w:rStyle w:val="row-content"/>
              </w:rPr>
              <w:t xml:space="preserve"> </w:t>
            </w:r>
          </w:p>
          <w:p>
            <w:r>
              <w:rPr>
                <w:rStyle w:val="row-content"/>
                <w:b/>
                <w:color w:val="000000"/>
              </w:rPr>
              <w:t xml:space="preserve">Data Element / Data Set</w:t>
            </w:r>
          </w:p>
          <w:p>
            <w:hyperlink w:history="true" r:id="R309d586384fe4ab3">
              <w:r>
                <w:rPr>
                  <w:rStyle w:val="Hyperlink"/>
                </w:rPr>
                <w:t xml:space="preserve">Person—estimated resident population of Australia, total people N[N(7)]</w:t>
              </w:r>
            </w:hyperlink>
          </w:p>
          <w:p>
            <w:r>
              <w:rPr>
                <w:rStyle w:val="row-content"/>
                <w:b/>
              </w:rPr>
              <w:t xml:space="preserve">Data Source</w:t>
            </w:r>
          </w:p>
          <w:p>
            <w:hyperlink w:history="true" r:id="R4cdf5821d0b44bf7">
              <w:r>
                <w:rPr>
                  <w:rStyle w:val="Hyperlink"/>
                </w:rPr>
                <w:t xml:space="preserve">ABS 2011 Census of Population and Housing</w:t>
              </w:r>
            </w:hyperlink>
          </w:p>
          <w:p>
            <w:r>
              <w:rPr>
                <w:rStyle w:val="row-content"/>
                <w:b/>
              </w:rPr>
              <w:t xml:space="preserve">Guide for use</w:t>
            </w:r>
          </w:p>
          <w:p>
            <w:r>
              <w:rPr>
                <w:rStyle w:val="row-content"/>
              </w:rPr>
              <w:t xml:space="preserve">Data source type: Census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and state/territory by Indigenous status by remoteness area, by:</w:t>
            </w:r>
          </w:p>
          <w:p>
            <w:pPr>
              <w:pStyle w:val="ListParagraph"/>
              <w:numPr>
                <w:ilvl w:val="0"/>
                <w:numId w:val="2"/>
              </w:numPr>
            </w:pPr>
            <w:r>
              <w:rPr>
                <w:rStyle w:val="row-content-rich-text"/>
              </w:rPr>
              <w:t xml:space="preserve">completed study/currently studying.</w:t>
            </w:r>
          </w:p>
          <w:p>
            <w:pPr>
              <w:pStyle w:val="ListParagraph"/>
              <w:numPr>
                <w:ilvl w:val="0"/>
                <w:numId w:val="2"/>
              </w:numPr>
            </w:pPr>
            <w:r>
              <w:rPr>
                <w:rStyle w:val="row-content-rich-text"/>
              </w:rPr>
              <w:t xml:space="preserve">level of study (completed study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Level of completed study.</w:t>
            </w:r>
          </w:p>
          <w:p>
            <w:r>
              <w:rPr>
                <w:rStyle w:val="row-content"/>
                <w:b/>
              </w:rPr>
              <w:t xml:space="preserve">Data Source</w:t>
            </w:r>
          </w:p>
          <w:p>
            <w:hyperlink w:history="true" r:id="R6669d441127a4a6a">
              <w:r>
                <w:rPr>
                  <w:rStyle w:val="Hyperlink"/>
                </w:rPr>
                <w:t xml:space="preserve">ABS 2011 Census of Population and Housing</w:t>
              </w:r>
            </w:hyperlink>
          </w:p>
          <w:p>
            <w:r>
              <w:rPr>
                <w:rStyle w:val="row-content"/>
                <w:b/>
              </w:rPr>
              <w:t xml:space="preserve">Guide for use</w:t>
            </w:r>
          </w:p>
          <w:p>
            <w:r>
              <w:rPr>
                <w:rStyle w:val="row-content"/>
              </w:rPr>
              <w:t xml:space="preserve">Data source type: Census</w:t>
            </w:r>
          </w:p>
          <w:p>
            <w:r>
              <w:rPr>
                <w:rStyle w:val="row-content"/>
              </w:rPr>
              <w:t xml:space="preserve"> </w:t>
            </w:r>
          </w:p>
          <w:p>
            <w:r>
              <w:rPr>
                <w:rStyle w:val="row-content"/>
                <w:b/>
                <w:color w:val="000000"/>
              </w:rPr>
              <w:t xml:space="preserve">Data Element / Data Set</w:t>
            </w:r>
            <w:r>
              <w:rPr>
                <w:rStyle w:val="row-content"/>
              </w:rPr>
              <w:t xml:space="preserve">Level of current study.</w:t>
            </w:r>
          </w:p>
          <w:p>
            <w:r>
              <w:rPr>
                <w:rStyle w:val="row-content"/>
                <w:b/>
              </w:rPr>
              <w:t xml:space="preserve">Data Source</w:t>
            </w:r>
          </w:p>
          <w:p>
            <w:hyperlink w:history="true" r:id="Rc126fb4d7a804aec">
              <w:r>
                <w:rPr>
                  <w:rStyle w:val="Hyperlink"/>
                </w:rPr>
                <w:t xml:space="preserve">ABS 2011 Census of Population and Housing</w:t>
              </w:r>
            </w:hyperlink>
          </w:p>
          <w:p>
            <w:r>
              <w:rPr>
                <w:rStyle w:val="row-content"/>
                <w:b/>
              </w:rPr>
              <w:t xml:space="preserve">Guide for use</w:t>
            </w:r>
          </w:p>
          <w:p>
            <w:r>
              <w:rPr>
                <w:rStyle w:val="row-content"/>
              </w:rPr>
              <w:t xml:space="preserve">Data source type: Census</w:t>
            </w:r>
          </w:p>
          <w:p>
            <w:r>
              <w:rPr>
                <w:rStyle w:val="row-content"/>
              </w:rPr>
              <w:t xml:space="preserve"> </w:t>
            </w:r>
          </w:p>
          <w:p>
            <w:r>
              <w:rPr>
                <w:rStyle w:val="row-content"/>
                <w:b/>
                <w:color w:val="000000"/>
              </w:rPr>
              <w:t xml:space="preserve">Data Element / Data Set</w:t>
            </w:r>
          </w:p>
          <w:p>
            <w:hyperlink w:history="true" r:id="R87eee45a3fd14751">
              <w:r>
                <w:rPr>
                  <w:rStyle w:val="Hyperlink"/>
                </w:rPr>
                <w:t xml:space="preserve">Person—Indigenous status, code N</w:t>
              </w:r>
            </w:hyperlink>
          </w:p>
          <w:p>
            <w:r>
              <w:rPr>
                <w:rStyle w:val="row-content"/>
                <w:b/>
              </w:rPr>
              <w:t xml:space="preserve">Data Source</w:t>
            </w:r>
          </w:p>
          <w:p>
            <w:hyperlink w:history="true" r:id="Rbbe5c19e62d64a0a">
              <w:r>
                <w:rPr>
                  <w:rStyle w:val="Hyperlink"/>
                </w:rPr>
                <w:t xml:space="preserve">ABS 2011 Census of Population and Housing</w:t>
              </w:r>
            </w:hyperlink>
          </w:p>
          <w:p>
            <w:r>
              <w:rPr>
                <w:rStyle w:val="row-content"/>
                <w:b/>
              </w:rPr>
              <w:t xml:space="preserve">Guide for use</w:t>
            </w:r>
          </w:p>
          <w:p>
            <w:r>
              <w:rPr>
                <w:rStyle w:val="row-content"/>
              </w:rPr>
              <w:t xml:space="preserve">Data source type: Census</w:t>
            </w:r>
          </w:p>
          <w:p>
            <w:r>
              <w:rPr>
                <w:rStyle w:val="row-content"/>
              </w:rPr>
              <w:t xml:space="preserve"> </w:t>
            </w:r>
          </w:p>
          <w:p>
            <w:r>
              <w:rPr>
                <w:rStyle w:val="row-content"/>
                <w:b/>
                <w:color w:val="000000"/>
              </w:rPr>
              <w:t xml:space="preserve">Data Element / Data Set</w:t>
            </w:r>
          </w:p>
          <w:p>
            <w:hyperlink w:history="true" r:id="Ra73f25806cfc4cc4">
              <w:r>
                <w:rPr>
                  <w:rStyle w:val="Hyperlink"/>
                </w:rPr>
                <w:t xml:space="preserve">Person—area of usual residence, statistical area level 2 (SA2) code (ASGS 2011) N(9)</w:t>
              </w:r>
            </w:hyperlink>
          </w:p>
          <w:p>
            <w:r>
              <w:rPr>
                <w:rStyle w:val="row-content"/>
                <w:b/>
              </w:rPr>
              <w:t xml:space="preserve">Data Source</w:t>
            </w:r>
          </w:p>
          <w:p>
            <w:hyperlink w:history="true" r:id="Rb2566bc948e14054">
              <w:r>
                <w:rPr>
                  <w:rStyle w:val="Hyperlink"/>
                </w:rPr>
                <w:t xml:space="preserve">ABS 2011 Census of Population and Housing</w:t>
              </w:r>
            </w:hyperlink>
          </w:p>
          <w:p>
            <w:r>
              <w:rPr>
                <w:rStyle w:val="row-content"/>
                <w:b/>
              </w:rPr>
              <w:t xml:space="preserve">Guide for use</w:t>
            </w:r>
          </w:p>
          <w:p>
            <w:r>
              <w:rPr>
                <w:rStyle w:val="row-content"/>
              </w:rPr>
              <w:t xml:space="preserve">Data source type: Census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2011 Census data were provided for 2013 reporting but was not available by disaggregated remoteness. 2011 Census data is resupplied in this reporting cycle disaggregated by remoteness.</w:t>
            </w:r>
          </w:p>
          <w:p>
            <w:pPr>
              <w:spacing w:after="160"/>
            </w:pPr>
            <w:r>
              <w:rPr>
                <w:rStyle w:val="row-content-rich-text"/>
              </w:rPr>
              <w:t xml:space="preserve">Data sources for this measure are:</w:t>
            </w:r>
          </w:p>
          <w:p>
            <w:pPr>
              <w:pStyle w:val="ListParagraph"/>
              <w:numPr>
                <w:ilvl w:val="0"/>
                <w:numId w:val="3"/>
              </w:numPr>
            </w:pPr>
            <w:r>
              <w:rPr>
                <w:rStyle w:val="row-content-rich-text"/>
              </w:rPr>
              <w:t xml:space="preserve">Census</w:t>
            </w:r>
          </w:p>
          <w:p>
            <w:pPr>
              <w:spacing w:after="160"/>
            </w:pPr>
            <w:r>
              <w:rPr>
                <w:rStyle w:val="row-content-rich-text"/>
              </w:rPr>
              <w:t xml:space="preserve">The baseline report reported data from the 2006 Census as the main data collection.</w:t>
            </w:r>
          </w:p>
          <w:p>
            <w:pPr>
              <w:spacing w:after="160"/>
            </w:pPr>
            <w:r>
              <w:rPr>
                <w:rStyle w:val="row-content-rich-text"/>
              </w:rPr>
              <w:t xml:space="preserve">For persons 'with' a non-school qualification:</w:t>
            </w:r>
          </w:p>
          <w:p>
            <w:pPr>
              <w:pStyle w:val="ListParagraph"/>
              <w:numPr>
                <w:ilvl w:val="0"/>
                <w:numId w:val="4"/>
              </w:numPr>
            </w:pPr>
            <w:r>
              <w:rPr>
                <w:rStyle w:val="row-content-rich-text"/>
              </w:rPr>
              <w:t xml:space="preserve">People whose level of education was inadequately described are excluded from the calculation (numerator and denominator).</w:t>
            </w:r>
          </w:p>
          <w:p>
            <w:pPr>
              <w:pStyle w:val="ListParagraph"/>
              <w:numPr>
                <w:ilvl w:val="0"/>
                <w:numId w:val="4"/>
              </w:numPr>
            </w:pPr>
            <w:r>
              <w:rPr>
                <w:rStyle w:val="row-content-rich-text"/>
              </w:rPr>
              <w:t xml:space="preserve">The Census measure excludes people whose highest year of schooling or non-school qualification is not stated or inadequately described if they fail to meet the indicator criteria for either variable.</w:t>
            </w:r>
          </w:p>
          <w:p>
            <w:pPr>
              <w:spacing w:after="160"/>
            </w:pPr>
            <w:r>
              <w:rPr>
                <w:rStyle w:val="row-content-rich-text"/>
              </w:rPr>
              <w:t xml:space="preserve">For persons 'working towards' a non-school qualification:</w:t>
            </w:r>
          </w:p>
          <w:p>
            <w:pPr>
              <w:pStyle w:val="ListParagraph"/>
              <w:numPr>
                <w:ilvl w:val="0"/>
                <w:numId w:val="5"/>
              </w:numPr>
            </w:pPr>
            <w:r>
              <w:rPr>
                <w:rStyle w:val="row-content-rich-text"/>
              </w:rPr>
              <w:t xml:space="preserve">Level of qualification is not available for people 'working towards' post-school qualifications. Therefore, people working towards any non-school qualification are included in the calculations for this indicator. </w:t>
            </w:r>
          </w:p>
          <w:p>
            <w:pPr>
              <w:spacing w:after="160"/>
            </w:pPr>
            <w:r>
              <w:rPr>
                <w:rStyle w:val="row-content-rich-text"/>
              </w:rPr>
              <w:t xml:space="preserve">Total population excludes people whose highest level of schooling and/or level of non-schooling qualification was not stated.</w:t>
            </w:r>
          </w:p>
          <w:p>
            <w:pPr>
              <w:spacing w:after="160"/>
            </w:pPr>
            <w:r>
              <w:rPr>
                <w:rStyle w:val="row-content-rich-text"/>
              </w:rPr>
              <w:t xml:space="preserve">At this stage, the Australian Bureau of Statistics (ABS) advises that information is only available on qualification levels for those who have completed studies (not those who are currently studying). Therefore, the ABS recommended restricting the definition for baseline reporting accordingly to those who have completed Certificate Level III or above, and those currently studying a non-school qualification.</w:t>
            </w:r>
          </w:p>
          <w:p>
            <w:pPr>
              <w:jc w:val="left"/>
            </w:pPr>
            <w:r>
              <w:rPr>
                <w:rStyle w:val="row-content-rich-text"/>
              </w:rPr>
              <w:t xml:space="preserve">Baseline year for NIRA target (Halve the gap in employment outcomes within a decade) is 2008; baseline year for this measure is 2006.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d084dd659be74896">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9cd31da7b6941cd">
              <w:r>
                <w:rPr>
                  <w:rStyle w:val="Hyperlink"/>
                </w:rPr>
                <w:t xml:space="preserve">ABS 2011 Census of Population and Housing</w:t>
              </w:r>
            </w:hyperlink>
          </w:p>
          <w:p>
            <w:r>
              <w:rPr>
                <w:rStyle w:val="row-content"/>
                <w:b/>
              </w:rPr>
              <w:t xml:space="preserve">Frequency</w:t>
            </w:r>
          </w:p>
          <w:p>
            <w:r>
              <w:rPr>
                <w:rStyle w:val="row-content"/>
              </w:rPr>
              <w:t xml:space="preserve">Every 5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Interim.</w:t>
            </w:r>
          </w:p>
          <w:p>
            <w:pPr>
              <w:spacing w:after="160"/>
            </w:pPr>
            <w:r>
              <w:rPr>
                <w:rStyle w:val="row-content-rich-text"/>
              </w:rPr>
              <w:t xml:space="preserve">Data are required on the level of qualification for those currently studying (working towards a qualification).</w:t>
            </w:r>
          </w:p>
          <w:p>
            <w:pPr/>
            <w:r>
              <w:rPr>
                <w:rStyle w:val="row-content-rich-text"/>
              </w:rPr>
              <w:t xml:space="preserve">The ABS have collected level and field of current study in the 2012-13 National Aboriginal and Torres Strait Islander Health Survey. These data are also available in the annual ABS Survey of Education and Work.</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65081cc7ebd48b4">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46e43202c2b4b45">
              <w:r>
                <w:rPr>
                  <w:rStyle w:val="Hyperlink"/>
                </w:rPr>
                <w:t xml:space="preserve">National Indigenous Reform Agreement: PI 15a-Proportion of Indigenous 20-64 year olds with or working towards a post-school qualification in Certificate level III or above, (Census data) 2013</w:t>
              </w:r>
            </w:hyperlink>
          </w:p>
          <w:p>
            <w:pPr>
              <w:pStyle w:val="registration-status"/>
              <w:spacing w:before="0" w:after="0"/>
            </w:pPr>
            <w:hyperlink w:history="true" r:id="Rd43bd088472e4630">
              <w:r>
                <w:rPr>
                  <w:rStyle w:val="Hyperlink"/>
                  <w:color w:val="244061"/>
                </w:rPr>
                <w:t xml:space="preserve">Indigenous</w:t>
              </w:r>
            </w:hyperlink>
            <w:r>
              <w:rPr>
                <w:rStyle w:val="row-content"/>
                <w:color w:val="244061"/>
              </w:rPr>
              <w:t xml:space="preserve">, Superseded 13/12/2013</w:t>
            </w:r>
          </w:p>
          <w:p>
            <w:r>
              <w:br/>
            </w:r>
            <w:r>
              <w:rPr>
                <w:rStyle w:val="row-content"/>
              </w:rPr>
              <w:t xml:space="preserve">Has been superseded by </w:t>
            </w:r>
            <w:hyperlink w:history="true" r:id="R6c120ab478464558">
              <w:r>
                <w:rPr>
                  <w:rStyle w:val="Hyperlink"/>
                </w:rPr>
                <w:t xml:space="preserve">National Indigenous Reform Agreement: PI 15a-Proportion of Indigenous 20-64 year olds with or working towards a post-school qualification in Certificate level III or above, (Census data) 2015</w:t>
              </w:r>
            </w:hyperlink>
          </w:p>
          <w:p>
            <w:pPr>
              <w:pStyle w:val="registration-status"/>
              <w:spacing w:before="0" w:after="0"/>
            </w:pPr>
            <w:hyperlink w:history="true" r:id="R491cb435a58a47d8">
              <w:r>
                <w:rPr>
                  <w:rStyle w:val="Hyperlink"/>
                  <w:color w:val="244061"/>
                </w:rPr>
                <w:t xml:space="preserve">Indigenous</w:t>
              </w:r>
            </w:hyperlink>
            <w:r>
              <w:rPr>
                <w:rStyle w:val="row-content"/>
                <w:color w:val="244061"/>
              </w:rPr>
              <w:t xml:space="preserve">, Superseded 18/11/2015</w:t>
            </w:r>
          </w:p>
          <w:p>
            <w:r>
              <w:br/>
            </w:r>
            <w:r>
              <w:rPr>
                <w:rStyle w:val="row-content"/>
              </w:rPr>
              <w:t xml:space="preserve">See also </w:t>
            </w:r>
            <w:hyperlink w:history="true" r:id="R6ee4815f23fb46e5">
              <w:r>
                <w:rPr>
                  <w:rStyle w:val="Hyperlink"/>
                </w:rPr>
                <w:t xml:space="preserve">National Indigenous Reform Agreement: PI 15b-Proportion of Indigenous 20-64 year olds with or working towards a post-school qualification in Certificate level III or above (survey data), 2014</w:t>
              </w:r>
            </w:hyperlink>
          </w:p>
          <w:p>
            <w:pPr>
              <w:pStyle w:val="registration-status"/>
              <w:spacing w:before="0" w:after="0"/>
            </w:pPr>
            <w:hyperlink w:history="true" r:id="R0b5d694b17c54467">
              <w:r>
                <w:rPr>
                  <w:rStyle w:val="Hyperlink"/>
                  <w:color w:val="244061"/>
                </w:rPr>
                <w:t xml:space="preserve">Indigenous</w:t>
              </w:r>
            </w:hyperlink>
            <w:r>
              <w:rPr>
                <w:rStyle w:val="row-content"/>
                <w:color w:val="244061"/>
              </w:rPr>
              <w:t xml:space="preserve">, Superseded 24/11/2014</w:t>
            </w:r>
          </w:p>
          <w:p>
            <w:r>
              <w:br/>
            </w:r>
          </w:p>
        </w:tc>
      </w:tr>
    </w:tbl>
    <w:p>
      <w:r>
        <w:br/>
      </w:r>
    </w:p>
    <w:sectPr>
      <w:footerReference xmlns:r="http://schemas.openxmlformats.org/officeDocument/2006/relationships" w:type="default" r:id="R2906a9134eda430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525738</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11317f4fd97487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906a9134eda430b" /><Relationship Type="http://schemas.openxmlformats.org/officeDocument/2006/relationships/header" Target="/word/header1.xml" Id="Re9942cd5782c48d1" /><Relationship Type="http://schemas.openxmlformats.org/officeDocument/2006/relationships/settings" Target="/word/settings.xml" Id="R7a945308e73a468d" /><Relationship Type="http://schemas.openxmlformats.org/officeDocument/2006/relationships/styles" Target="/word/styles.xml" Id="R35a5e03cbe8f472a" /><Relationship Type="http://schemas.openxmlformats.org/officeDocument/2006/relationships/numbering" Target="/word/numbering.xml" Id="Rba41da8bd39f478b" /><Relationship Type="http://schemas.openxmlformats.org/officeDocument/2006/relationships/hyperlink" Target="https://meteor-uat.aihw.gov.au/RegistrationAuthority/9" TargetMode="External" Id="Rabe065346415436f" /><Relationship Type="http://schemas.openxmlformats.org/officeDocument/2006/relationships/hyperlink" Target="https://meteor-uat.aihw.gov.au/content/525754" TargetMode="External" Id="R5f7bd17dd8754af6" /><Relationship Type="http://schemas.openxmlformats.org/officeDocument/2006/relationships/hyperlink" Target="https://meteor-uat.aihw.gov.au/RegistrationAuthority/9" TargetMode="External" Id="R4b7f8771cabd4868" /><Relationship Type="http://schemas.openxmlformats.org/officeDocument/2006/relationships/hyperlink" Target="https://meteor-uat.aihw.gov.au/content/396182" TargetMode="External" Id="Re2576a2131b24560" /><Relationship Type="http://schemas.openxmlformats.org/officeDocument/2006/relationships/hyperlink" Target="https://meteor-uat.aihw.gov.au/RegistrationAuthority/9" TargetMode="External" Id="R4b51cdc3941343db" /><Relationship Type="http://schemas.openxmlformats.org/officeDocument/2006/relationships/hyperlink" Target="https://meteor-uat.aihw.gov.au/content/567240" TargetMode="External" Id="Rb61f695bfb574b08" /><Relationship Type="http://schemas.openxmlformats.org/officeDocument/2006/relationships/hyperlink" Target="https://meteor-uat.aihw.gov.au/RegistrationAuthority/9" TargetMode="External" Id="R363edef69eaa4559" /><Relationship Type="http://schemas.openxmlformats.org/officeDocument/2006/relationships/hyperlink" Target="https://meteor-uat.aihw.gov.au/content/481876" TargetMode="External" Id="R28a49826e1da4107" /><Relationship Type="http://schemas.openxmlformats.org/officeDocument/2006/relationships/hyperlink" Target="https://meteor-uat.aihw.gov.au/content/303794" TargetMode="External" Id="Rbcffb3bbee564430" /><Relationship Type="http://schemas.openxmlformats.org/officeDocument/2006/relationships/hyperlink" Target="https://meteor-uat.aihw.gov.au/content/481876" TargetMode="External" Id="Rbe2074ccdf4a403d" /><Relationship Type="http://schemas.openxmlformats.org/officeDocument/2006/relationships/hyperlink" Target="https://meteor-uat.aihw.gov.au/content/321069" TargetMode="External" Id="Rf67088e03c7a4353" /><Relationship Type="http://schemas.openxmlformats.org/officeDocument/2006/relationships/hyperlink" Target="https://meteor-uat.aihw.gov.au/content/481876" TargetMode="External" Id="R57a71281d6d34cf5" /><Relationship Type="http://schemas.openxmlformats.org/officeDocument/2006/relationships/hyperlink" Target="https://meteor-uat.aihw.gov.au/content/349588" TargetMode="External" Id="R8625448645fc4bd8" /><Relationship Type="http://schemas.openxmlformats.org/officeDocument/2006/relationships/hyperlink" Target="https://meteor-uat.aihw.gov.au/content/481876" TargetMode="External" Id="Rdaf34ad6dde74ef2" /><Relationship Type="http://schemas.openxmlformats.org/officeDocument/2006/relationships/hyperlink" Target="https://meteor-uat.aihw.gov.au/content/303794" TargetMode="External" Id="Rc192697491764cab" /><Relationship Type="http://schemas.openxmlformats.org/officeDocument/2006/relationships/hyperlink" Target="https://meteor-uat.aihw.gov.au/content/481876" TargetMode="External" Id="Ra0d897e80ea94975" /><Relationship Type="http://schemas.openxmlformats.org/officeDocument/2006/relationships/hyperlink" Target="https://meteor-uat.aihw.gov.au/content/388656" TargetMode="External" Id="R309d586384fe4ab3" /><Relationship Type="http://schemas.openxmlformats.org/officeDocument/2006/relationships/hyperlink" Target="https://meteor-uat.aihw.gov.au/content/481876" TargetMode="External" Id="R4cdf5821d0b44bf7" /><Relationship Type="http://schemas.openxmlformats.org/officeDocument/2006/relationships/hyperlink" Target="https://meteor-uat.aihw.gov.au/content/481876" TargetMode="External" Id="R6669d441127a4a6a" /><Relationship Type="http://schemas.openxmlformats.org/officeDocument/2006/relationships/hyperlink" Target="https://meteor-uat.aihw.gov.au/content/481876" TargetMode="External" Id="Rc126fb4d7a804aec" /><Relationship Type="http://schemas.openxmlformats.org/officeDocument/2006/relationships/hyperlink" Target="https://meteor-uat.aihw.gov.au/content/291036" TargetMode="External" Id="R87eee45a3fd14751" /><Relationship Type="http://schemas.openxmlformats.org/officeDocument/2006/relationships/hyperlink" Target="https://meteor-uat.aihw.gov.au/content/481876" TargetMode="External" Id="Rbbe5c19e62d64a0a" /><Relationship Type="http://schemas.openxmlformats.org/officeDocument/2006/relationships/hyperlink" Target="https://meteor-uat.aihw.gov.au/content/469909" TargetMode="External" Id="Ra73f25806cfc4cc4" /><Relationship Type="http://schemas.openxmlformats.org/officeDocument/2006/relationships/hyperlink" Target="https://meteor-uat.aihw.gov.au/content/481876" TargetMode="External" Id="Rb2566bc948e14054" /><Relationship Type="http://schemas.openxmlformats.org/officeDocument/2006/relationships/hyperlink" Target="https://meteor-uat.aihw.gov.au/content/410674" TargetMode="External" Id="Rd084dd659be74896" /><Relationship Type="http://schemas.openxmlformats.org/officeDocument/2006/relationships/hyperlink" Target="https://meteor-uat.aihw.gov.au/content/481876" TargetMode="External" Id="R99cd31da7b6941cd" /><Relationship Type="http://schemas.openxmlformats.org/officeDocument/2006/relationships/hyperlink" Target="https://meteor-uat.aihw.gov.au/content/410271" TargetMode="External" Id="Rc65081cc7ebd48b4" /><Relationship Type="http://schemas.openxmlformats.org/officeDocument/2006/relationships/hyperlink" Target="https://meteor-uat.aihw.gov.au/content/484375" TargetMode="External" Id="R946e43202c2b4b45" /><Relationship Type="http://schemas.openxmlformats.org/officeDocument/2006/relationships/hyperlink" Target="https://meteor-uat.aihw.gov.au/RegistrationAuthority/9" TargetMode="External" Id="Rd43bd088472e4630" /><Relationship Type="http://schemas.openxmlformats.org/officeDocument/2006/relationships/hyperlink" Target="https://meteor-uat.aihw.gov.au/content/579108" TargetMode="External" Id="R6c120ab478464558" /><Relationship Type="http://schemas.openxmlformats.org/officeDocument/2006/relationships/hyperlink" Target="https://meteor-uat.aihw.gov.au/RegistrationAuthority/9" TargetMode="External" Id="R491cb435a58a47d8" /><Relationship Type="http://schemas.openxmlformats.org/officeDocument/2006/relationships/hyperlink" Target="https://meteor-uat.aihw.gov.au/content/525731" TargetMode="External" Id="R6ee4815f23fb46e5" /><Relationship Type="http://schemas.openxmlformats.org/officeDocument/2006/relationships/hyperlink" Target="https://meteor-uat.aihw.gov.au/RegistrationAuthority/9" TargetMode="External" Id="R0b5d694b17c54467" /></Relationships>
</file>

<file path=word/_rels/header1.xml.rels>&#65279;<?xml version="1.0" encoding="utf-8"?><Relationships xmlns="http://schemas.openxmlformats.org/package/2006/relationships"><Relationship Type="http://schemas.openxmlformats.org/officeDocument/2006/relationships/image" Target="/media/image.png" Id="R311317f4fd97487f" /></Relationships>
</file>