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ff29aace0e4e6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KPI??-Weighted separations,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KPI??-Weighted separations,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Weighted separations (care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3d05543144735">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indicator measures the total weighted separations which indicate the costliness of an Australian Refined Diagnosis Related Group (AR-DRG) relative to all other AR-DRGs such that the average cost weight for all separations in 1.00. </w:t>
            </w:r>
          </w:p>
          <w:p>
            <w:pPr/>
            <w:r>
              <w:rPr>
                <w:rStyle w:val="row-content-rich-text"/>
              </w:rPr>
              <w:t xml:space="preserve">A separation for an AR-DRG with a cost weight of 5.0, therefore, on average costs 10 times as much as separations with a cost weight of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e04dcf53484eab">
              <w:r>
                <w:rPr>
                  <w:rStyle w:val="Hyperlink"/>
                </w:rPr>
                <w:t xml:space="preserve">Service Agreement - Department of Health and Human Services Tasmania: 2013</w:t>
              </w:r>
            </w:hyperlink>
          </w:p>
          <w:p>
            <w:pPr>
              <w:pStyle w:val="registration-status"/>
              <w:spacing w:before="0" w:after="0"/>
            </w:pPr>
            <w:hyperlink w:history="true" r:id="R22831b66fcf647a6">
              <w:r>
                <w:rPr>
                  <w:rStyle w:val="Hyperlink"/>
                  <w:color w:val="244061"/>
                </w:rPr>
                <w:t xml:space="preserve">Tasmanian Health</w:t>
              </w:r>
            </w:hyperlink>
            <w:r>
              <w:rPr>
                <w:rStyle w:val="row-content"/>
                <w:color w:val="244061"/>
              </w:rPr>
              <w:t xml:space="preserve">, Superseded 12/12/2016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using the total number of weighted separations for Acute Inpatient Activity (Care Type 1) including Outside Referred Patients and acute mental health inpatient activity.</w:t>
            </w:r>
          </w:p>
          <w:p>
            <w:pPr>
              <w:spacing w:after="160"/>
            </w:pPr>
            <w:r>
              <w:rPr>
                <w:rStyle w:val="row-content-rich-text"/>
              </w:rPr>
              <w:t xml:space="preserve">The average cost weight used to construct this indicator is calculated from the National Hospital Morbidity Database, using AR-DRG public cost weights published by the Department of Health and Ageing.</w:t>
            </w:r>
          </w:p>
          <w:p>
            <w:pPr>
              <w:spacing w:after="160"/>
            </w:pPr>
            <w:r>
              <w:rPr>
                <w:rStyle w:val="row-content-rich-text"/>
              </w:rPr>
              <w:t xml:space="preserve">Casemix adjustment is based on the round of cost weights attributed to the AR-DRG assigned to each separation.</w:t>
            </w:r>
          </w:p>
          <w:p>
            <w:pPr>
              <w:spacing w:after="160"/>
            </w:pPr>
            <w:r>
              <w:rPr>
                <w:rStyle w:val="row-content-rich-text"/>
              </w:rPr>
              <w:t xml:space="preserve">National Hospital Cost Data Collection (NHCDC) Round 14 (2009-10) AR-DRG v6.0x public sector estimated cost weights and AR-DRG v6.0x will be applied to calculate weighted separations for 2013-14.</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formula to calculate weighted separation is:</w:t>
            </w:r>
          </w:p>
          <w:p>
            <w:hyperlink w:history="true" r:id="R6e8090a7f46b480d">
              <w:r>
                <w:drawing>
                  <wp:inline xmlns:wp="http://schemas.openxmlformats.org/drawingml/2006/wordprocessingDrawing" distT="0" distB="0" distL="0" distR="0">
                    <wp:extent cx="1466850" cy="390525"/>
                    <wp:effectExtent l="19050" t="0" r="0" b="0"/>
                    <wp:docPr id="2" name="Picture 2" descr="">
                      <a:hlinkClick xmlns:a="http://schemas.openxmlformats.org/drawingml/2006/main" r:id="R6e8090a7f46b480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fb0749e97e14ec5"/>
                            <a:srcRect/>
                            <a:stretch>
                              <a:fillRect/>
                            </a:stretch>
                          </pic:blipFill>
                          <pic:spPr bwMode="auto">
                            <a:xfrm>
                              <a:off x="0" y="0"/>
                              <a:ext cx="1466850" cy="390525"/>
                            </a:xfrm>
                            <a:prstGeom prst="rect">
                              <a:avLst/>
                            </a:prstGeom>
                          </pic:spPr>
                        </pic:pic>
                      </a:graphicData>
                    </a:graphic>
                  </wp:inline>
                </w:drawing>
              </w:r>
            </w:hyperlink>
          </w:p>
          <w:p>
            <w:pPr>
              <w:spacing w:after="160"/>
            </w:pPr>
            <w:r>
              <w:rPr>
                <w:rStyle w:val="row-content-rich-text"/>
              </w:rPr>
              <w:t xml:space="preserve">where:</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i/>
                    </w:rPr>
                    <w:t xml:space="preserve">WSeps</w:t>
                  </w:r>
                </w:p>
              </w:tc>
              <w:tc>
                <w:tcPr>
                  <w:tcW w:w="4000" w:type="pct"/>
                  <w:vAlign w:val="top"/>
                </w:tcPr>
                <w:p>
                  <w:r>
                    <w:t xml:space="preserve">Weighted separations</w:t>
                  </w:r>
                </w:p>
              </w:tc>
            </w:tr>
            <w:tr>
              <w:trPr/>
              <w:tc>
                <w:tcPr>
                  <w:tcW w:w="1000" w:type="pct"/>
                  <w:vAlign w:val="top"/>
                </w:tcPr>
                <w:p>
                  <w:r>
                    <w:rPr>
                      <w:i/>
                    </w:rPr>
                    <w:t xml:space="preserve">n</w:t>
                  </w:r>
                  <w:r>
                    <w:rPr>
                      <w:i/>
                      <w:vertAlign w:val="subscript"/>
                    </w:rPr>
                    <w:t xml:space="preserve">i</w:t>
                  </w:r>
                </w:p>
              </w:tc>
              <w:tc>
                <w:tcPr>
                  <w:tcW w:w="4000" w:type="pct"/>
                  <w:vAlign w:val="top"/>
                </w:tcPr>
                <w:p>
                  <w:r>
                    <w:t xml:space="preserve">Number of separations in the </w:t>
                  </w:r>
                  <w:r>
                    <w:rPr>
                      <w:i/>
                    </w:rPr>
                    <w:t xml:space="preserve">ith</w:t>
                  </w:r>
                  <w:r>
                    <w:t xml:space="preserve"> DRG</w:t>
                  </w:r>
                </w:p>
              </w:tc>
            </w:tr>
            <w:tr>
              <w:trPr/>
              <w:tc>
                <w:tcPr>
                  <w:tcW w:w="1000" w:type="pct"/>
                  <w:vAlign w:val="top"/>
                </w:tcPr>
                <w:p>
                  <w:r>
                    <w:rPr>
                      <w:i/>
                    </w:rPr>
                    <w:t xml:space="preserve">k</w:t>
                  </w:r>
                </w:p>
              </w:tc>
              <w:tc>
                <w:tcPr>
                  <w:tcW w:w="4000" w:type="pct"/>
                  <w:vAlign w:val="top"/>
                </w:tcPr>
                <w:p>
                  <w:r>
                    <w:t xml:space="preserve">Number of DRGs (in ARDRG)</w:t>
                  </w:r>
                </w:p>
              </w:tc>
            </w:tr>
            <w:tr>
              <w:trPr/>
              <w:tc>
                <w:tcPr>
                  <w:tcW w:w="1000" w:type="pct"/>
                  <w:vAlign w:val="top"/>
                </w:tcPr>
                <w:p>
                  <w:r>
                    <w:rPr>
                      <w:i/>
                    </w:rPr>
                    <w:t xml:space="preserve">CW</w:t>
                  </w:r>
                  <w:r>
                    <w:rPr>
                      <w:i/>
                      <w:vertAlign w:val="subscript"/>
                    </w:rPr>
                    <w:t xml:space="preserve">i</w:t>
                  </w:r>
                </w:p>
              </w:tc>
              <w:tc>
                <w:tcPr>
                  <w:tcW w:w="4000" w:type="pct"/>
                  <w:vAlign w:val="top"/>
                </w:tcPr>
                <w:p>
                  <w:r>
                    <w:t xml:space="preserve">Cost weight for the </w:t>
                  </w:r>
                  <w:r>
                    <w:rPr>
                      <w:i/>
                    </w:rPr>
                    <w:t xml:space="preserve">ith</w:t>
                  </w:r>
                  <w:r>
                    <w:t xml:space="preserve"> DRG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weighted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r>
              <w:rPr>
                <w:rStyle w:val="row-content"/>
              </w:rPr>
              <w:t xml:space="preserve">AR-DRG version 6.0x public sector cost weights (2009-10) Round 14</w:t>
            </w:r>
          </w:p>
          <w:p>
            <w:r>
              <w:rPr>
                <w:rStyle w:val="row-content"/>
                <w:b/>
              </w:rPr>
              <w:t xml:space="preserve">Data Source</w:t>
            </w:r>
          </w:p>
          <w:p>
            <w:hyperlink w:history="true" r:id="R62834b1b09c04105">
              <w:r>
                <w:rPr>
                  <w:rStyle w:val="Hyperlink"/>
                </w:rPr>
                <w:t xml:space="preserve">National Hospital Cost Data Collection (NHCDC)</w:t>
              </w:r>
            </w:hyperlink>
          </w:p>
          <w:p>
            <w:r>
              <w:rPr>
                <w:rStyle w:val="row-content"/>
              </w:rPr>
              <w:t xml:space="preserve"> </w:t>
            </w:r>
          </w:p>
          <w:p>
            <w:r>
              <w:rPr>
                <w:rStyle w:val="row-content"/>
                <w:b/>
                <w:color w:val="000000"/>
              </w:rPr>
              <w:t xml:space="preserve">Data Element / Data Set</w:t>
            </w:r>
          </w:p>
          <w:p>
            <w:hyperlink w:history="true" r:id="R5c74f7b79f5249d5">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84eed00455b74258">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2bb5bd046ae741e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e229420d0d94e6f">
              <w:r>
                <w:rPr>
                  <w:rStyle w:val="Hyperlink"/>
                </w:rPr>
                <w:t xml:space="preserve">Hospital service—care type, Tasmanian code X[XXXX]</w:t>
              </w:r>
            </w:hyperlink>
          </w:p>
          <w:p>
            <w:r>
              <w:rPr>
                <w:rStyle w:val="row-content"/>
                <w:b/>
              </w:rPr>
              <w:t xml:space="preserve">Guide for use</w:t>
            </w:r>
          </w:p>
          <w:p>
            <w:r>
              <w:rPr>
                <w:rStyle w:val="row-content"/>
              </w:rPr>
              <w:t xml:space="preserve">Data is obtained from the [DischargeCareTypeRefId] field in Health Central and includes the Care type recorded as </w:t>
            </w:r>
            <w:r>
              <w:rPr>
                <w:rStyle w:val="row-content"/>
                <w:i/>
              </w:rPr>
              <w:t xml:space="preserve">Acute care (include qualified neonates) </w:t>
            </w:r>
            <w:r>
              <w:rPr>
                <w:rStyle w:val="row-content"/>
              </w:rPr>
              <w:t xml:space="preserve">only.</w:t>
            </w:r>
          </w:p>
          <w:p>
            <w:r>
              <w:rPr>
                <w:rStyle w:val="row-content"/>
              </w:rPr>
              <w:t xml:space="preserve"> </w:t>
            </w:r>
          </w:p>
          <w:p>
            <w:r>
              <w:rPr>
                <w:rStyle w:val="row-content"/>
                <w:b/>
                <w:color w:val="000000"/>
              </w:rPr>
              <w:t xml:space="preserve">Data Element / Data Set</w:t>
            </w:r>
          </w:p>
          <w:p>
            <w:hyperlink w:history="true" r:id="R4f691a43cbab4f16">
              <w:r>
                <w:rPr>
                  <w:rStyle w:val="Hyperlink"/>
                </w:rPr>
                <w:t xml:space="preserve">Episode of care—source of funding, Tasmanian code XX[AAAAA]</w:t>
              </w:r>
            </w:hyperlink>
          </w:p>
          <w:p>
            <w:r>
              <w:rPr>
                <w:rStyle w:val="row-content"/>
                <w:b/>
              </w:rPr>
              <w:t xml:space="preserve">Guide for use</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f3206f41fb554713">
              <w:r>
                <w:rPr>
                  <w:rStyle w:val="Hyperlink"/>
                </w:rPr>
                <w:t xml:space="preserve">Episode of admitted patient care—diagnosis related group, code (AR-DRG v 6.0x) ANNA</w:t>
              </w:r>
            </w:hyperlink>
          </w:p>
          <w:p>
            <w:r>
              <w:rPr>
                <w:rStyle w:val="row-content"/>
                <w:b/>
              </w:rPr>
              <w:t xml:space="preserve">Guide for use</w:t>
            </w:r>
          </w:p>
          <w:p>
            <w:r>
              <w:rPr>
                <w:rStyle w:val="row-content"/>
              </w:rPr>
              <w:t xml:space="preserve">Data is obtained from the [DRGCodeId]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05111edc0647bc">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4aabfd622a453b">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Your Health and Human Services: Progress Chart</w:t>
            </w:r>
          </w:p>
          <w:p>
            <w:pPr>
              <w:pStyle w:val="ListParagraph"/>
              <w:numPr>
                <w:ilvl w:val="0"/>
                <w:numId w:val="2"/>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ecc8898b804bf4">
              <w:r>
                <w:rPr>
                  <w:rStyle w:val="Hyperlink"/>
                </w:rPr>
                <w:t xml:space="preserve">Service Agreement - Department of Health and Human Services Tasmania: 2014, Weighted separations, 2014</w:t>
              </w:r>
            </w:hyperlink>
          </w:p>
          <w:p>
            <w:pPr>
              <w:pStyle w:val="registration-status"/>
              <w:spacing w:before="0" w:after="0"/>
            </w:pPr>
            <w:hyperlink w:history="true" r:id="R9b2e7b2456eb4f50">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7051cb93ee78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5bb870e30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1cb93ee7841c0" /><Relationship Type="http://schemas.openxmlformats.org/officeDocument/2006/relationships/header" Target="/word/header1.xml" Id="Re1577c7d95f84800" /><Relationship Type="http://schemas.openxmlformats.org/officeDocument/2006/relationships/settings" Target="/word/settings.xml" Id="R25e20bc4c5ff4abf" /><Relationship Type="http://schemas.openxmlformats.org/officeDocument/2006/relationships/styles" Target="/word/styles.xml" Id="R6bf945ef570b4849" /><Relationship Type="http://schemas.openxmlformats.org/officeDocument/2006/relationships/image" Target="/media/image.bmp" Id="Rffb0749e97e14ec5" /><Relationship Type="http://schemas.openxmlformats.org/officeDocument/2006/relationships/numbering" Target="/word/numbering.xml" Id="R90b1c24fd6254c09" /><Relationship Type="http://schemas.openxmlformats.org/officeDocument/2006/relationships/hyperlink" Target="https://meteor-uat.aihw.gov.au/RegistrationAuthority/17" TargetMode="External" Id="R3c03d05543144735" /><Relationship Type="http://schemas.openxmlformats.org/officeDocument/2006/relationships/hyperlink" Target="https://meteor-uat.aihw.gov.au/content/523451" TargetMode="External" Id="Rc1e04dcf53484eab" /><Relationship Type="http://schemas.openxmlformats.org/officeDocument/2006/relationships/hyperlink" Target="https://meteor-uat.aihw.gov.au/RegistrationAuthority/17" TargetMode="External" Id="R22831b66fcf647a6" /><Relationship Type="http://schemas.openxmlformats.org/officeDocument/2006/relationships/hyperlink" Target="https://meteor-uat.aihw.gov.au/content/439176" TargetMode="External" Id="R6e8090a7f46b480d" /><Relationship Type="http://schemas.openxmlformats.org/officeDocument/2006/relationships/hyperlink" Target="https://meteor-uat.aihw.gov.au/content/395154" TargetMode="External" Id="R62834b1b09c04105" /><Relationship Type="http://schemas.openxmlformats.org/officeDocument/2006/relationships/hyperlink" Target="https://meteor-uat.aihw.gov.au/content/270025" TargetMode="External" Id="R5c74f7b79f5249d5" /><Relationship Type="http://schemas.openxmlformats.org/officeDocument/2006/relationships/hyperlink" Target="https://meteor-uat.aihw.gov.au/content/416555" TargetMode="External" Id="R84eed00455b74258" /><Relationship Type="http://schemas.openxmlformats.org/officeDocument/2006/relationships/hyperlink" Target="https://meteor-uat.aihw.gov.au/content/416596" TargetMode="External" Id="R2bb5bd046ae741ef" /><Relationship Type="http://schemas.openxmlformats.org/officeDocument/2006/relationships/hyperlink" Target="https://meteor-uat.aihw.gov.au/content/417672" TargetMode="External" Id="Ree229420d0d94e6f" /><Relationship Type="http://schemas.openxmlformats.org/officeDocument/2006/relationships/hyperlink" Target="https://meteor-uat.aihw.gov.au/content/417677" TargetMode="External" Id="R4f691a43cbab4f16" /><Relationship Type="http://schemas.openxmlformats.org/officeDocument/2006/relationships/hyperlink" Target="https://meteor-uat.aihw.gov.au/content/481958" TargetMode="External" Id="Rf3206f41fb554713" /><Relationship Type="http://schemas.openxmlformats.org/officeDocument/2006/relationships/hyperlink" Target="https://meteor-uat.aihw.gov.au/content/416596" TargetMode="External" Id="Rb305111edc0647bc" /><Relationship Type="http://schemas.openxmlformats.org/officeDocument/2006/relationships/hyperlink" Target="https://meteor-uat.aihw.gov.au/content/395154" TargetMode="External" Id="R774aabfd622a453b" /><Relationship Type="http://schemas.openxmlformats.org/officeDocument/2006/relationships/hyperlink" Target="https://meteor-uat.aihw.gov.au/content/581552" TargetMode="External" Id="R31ecc8898b804bf4" /><Relationship Type="http://schemas.openxmlformats.org/officeDocument/2006/relationships/hyperlink" Target="https://meteor-uat.aihw.gov.au/RegistrationAuthority/17" TargetMode="External" Id="R9b2e7b2456eb4f50" /></Relationships>
</file>

<file path=word/_rels/header1.xml.rels>&#65279;<?xml version="1.0" encoding="utf-8"?><Relationships xmlns="http://schemas.openxmlformats.org/package/2006/relationships"><Relationship Type="http://schemas.openxmlformats.org/officeDocument/2006/relationships/image" Target="/media/image.png" Id="Rde75bb870e3043b0" /></Relationships>
</file>