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5a4ada34044c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55b030c0544e4">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(computation): The rate is defined as the numerator</w:t>
            </w:r>
            <w:r>
              <w:rPr>
                <w:rStyle w:val="row-content-rich-text"/>
                <w:vertAlign w:val="superscript"/>
              </w:rPr>
              <w:t xml:space="preserve">1</w:t>
            </w:r>
            <w:r>
              <w:rPr>
                <w:rStyle w:val="row-content-rich-text"/>
              </w:rPr>
              <w:t xml:space="preserve"> divided by the denominator</w:t>
            </w:r>
            <w:r>
              <w:rPr>
                <w:rStyle w:val="row-content-rich-text"/>
                <w:vertAlign w:val="superscript"/>
              </w:rPr>
              <w:t xml:space="preserve">2</w:t>
            </w:r>
            <w:r>
              <w:rPr>
                <w:rStyle w:val="row-content-rich-text"/>
                <w:vertAlign w:val="subscript"/>
              </w:rPr>
              <w:t xml:space="preserve"> </w:t>
            </w:r>
            <w:r>
              <w:rPr>
                <w:rStyle w:val="row-content-rich-text"/>
              </w:rPr>
              <w:t xml:space="preserve">multiplied by 100. </w:t>
            </w:r>
            <w:r>
              <w:rPr>
                <w:rStyle w:val="row-content-rich-text"/>
                <w:i/>
              </w:rPr>
              <w:t xml:space="preserve">Notes: the Vic. student attendance data is to be regarded as preliminary only as the Victorian Department of Education and Early Childhood Development has not yet fully finalised the return of the 2011 absence data from schools. Once it has finalised its data, there may be slight changes in the values.</w:t>
            </w:r>
          </w:p>
          <w:p>
            <w:pPr>
              <w:pStyle w:val="ListParagraph"/>
              <w:numPr>
                <w:ilvl w:val="0"/>
                <w:numId w:val="2"/>
              </w:numPr>
            </w:pPr>
            <w:r>
              <w:rPr>
                <w:rStyle w:val="row-content-rich-text"/>
              </w:rPr>
              <w:t xml:space="preserve">Numerator – the number of actual full-time equivalent student-days attended by full-time students at the indicated year level, by State and Territory, by Sex/Indigenous Status</w:t>
            </w:r>
          </w:p>
          <w:p>
            <w:pPr>
              <w:pStyle w:val="ListParagraph"/>
              <w:numPr>
                <w:ilvl w:val="0"/>
                <w:numId w:val="2"/>
              </w:numPr>
            </w:pPr>
            <w:r>
              <w:rPr>
                <w:rStyle w:val="row-content-rich-text"/>
              </w:rPr>
              <w:t xml:space="preserve">Denominator – the number of student attendance days possible at the indicated year level, by State and Territory, by Sex/Indigenous Status</w:t>
            </w:r>
          </w:p>
          <w:p>
            <w:pPr>
              <w:pStyle w:val="ListParagraph"/>
              <w:numPr>
                <w:ilvl w:val="0"/>
                <w:numId w:val="2"/>
              </w:numPr>
            </w:pPr>
            <w:r>
              <w:rPr>
                <w:rStyle w:val="row-content-rich-text"/>
              </w:rPr>
              <w:t xml:space="preserve">The student attendance rate (%), by State and Territory, by Sex/Indigenous Status.</w:t>
            </w:r>
          </w:p>
          <w:p>
            <w:pPr/>
            <w:r>
              <w:rPr>
                <w:rStyle w:val="row-content-rich-text"/>
              </w:rPr>
              <w:t xml:space="preserve">Data source: 2011 ACARA student attendance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w:t>
            </w:r>
          </w:p>
          <w:p>
            <w:pPr>
              <w:spacing w:after="160"/>
            </w:pPr>
            <w:r>
              <w:rPr>
                <w:rStyle w:val="row-content-rich-text"/>
              </w:rPr>
              <w:t xml:space="preserve">Collection authority: ACARA Act.</w:t>
            </w:r>
          </w:p>
          <w:p>
            <w:pPr/>
            <w:r>
              <w:rPr>
                <w:rStyle w:val="row-content-rich-text"/>
              </w:rPr>
              <w:t xml:space="preserve">Data Compiler(s): Department of Education in each State and Territory and DEEWR for non-government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Annually.</w:t>
            </w:r>
          </w:p>
          <w:p>
            <w:pPr>
              <w:spacing w:after="160"/>
            </w:pPr>
            <w:r>
              <w:rPr>
                <w:rStyle w:val="row-content-rich-text"/>
              </w:rPr>
              <w:t xml:space="preserve">Government sector: Semester 1 of each school year, except in Tasmania, where Term 1 is used.</w:t>
            </w:r>
          </w:p>
          <w:p>
            <w:pPr/>
            <w:r>
              <w:rPr>
                <w:rStyle w:val="row-content-rich-text"/>
              </w:rPr>
              <w:t xml:space="preserve">Non-government sectors: Last 20 school days in May of each school year. For 2011, this was the four-week period beginning Monday 2 May and ending Friday 27 May, except for schools in Western Australia. Because of the dates of the school holiday period in Western Australia, the collection period of 9 May to 3 June 2011 was assigned for Western Australian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published in the </w:t>
            </w:r>
            <w:r>
              <w:rPr>
                <w:rStyle w:val="row-content-rich-text"/>
                <w:i/>
              </w:rPr>
              <w:t xml:space="preserve">National Report on Schooling in Australia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 / territory and sector can be found in the National Report on Schooling in Australia – Explanatory notes for student attendance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 complete.</w:t>
            </w:r>
          </w:p>
          <w:p>
            <w:pPr/>
            <w:r>
              <w:rPr>
                <w:rStyle w:val="row-content-rich-text"/>
              </w:rPr>
              <w:t xml:space="preserve">Indigenous Statistics: All data are available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 / territory &amp; by The Department of Education, Employment and Workplace Relations (DEEWR), for the government and non-government systems respectively.</w:t>
            </w:r>
          </w:p>
          <w:p>
            <w:pPr/>
            <w:r>
              <w:rPr>
                <w:rStyle w:val="row-content-rich-text"/>
              </w:rPr>
              <w:t xml:space="preserve">Note that student attendance data are not always captured consistently by schools.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Methodologies and counting rules vary between state / territory and sector, therefore data cannot be compared across state / territory or across school sectors but comparisons over time (2007 to 2011) within a state / territory and sector can be made. Since 2007, data have generally been collected consistently by each state / territory and sector except for SA where the reporting period changed to Semester 1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12fb7a66934beb">
              <w:r>
                <w:rPr>
                  <w:rStyle w:val="Hyperlink"/>
                </w:rPr>
                <w:t xml:space="preserve">National Indigenous Reform Agreement: PI 20-Attendance rates - Year 1 to Year 10 2012 QS</w:t>
              </w:r>
            </w:hyperlink>
          </w:p>
          <w:p>
            <w:pPr>
              <w:pStyle w:val="registration-status"/>
              <w:spacing w:before="0" w:after="0"/>
            </w:pPr>
            <w:hyperlink w:history="true" r:id="R90009538409a4e09">
              <w:r>
                <w:rPr>
                  <w:rStyle w:val="Hyperlink"/>
                  <w:color w:val="244061"/>
                </w:rPr>
                <w:t xml:space="preserve">Indigenous</w:t>
              </w:r>
            </w:hyperlink>
            <w:r>
              <w:rPr>
                <w:rStyle w:val="row-content"/>
                <w:color w:val="244061"/>
              </w:rPr>
              <w:t xml:space="preserve">, Superseded 22/10/2013</w:t>
            </w:r>
          </w:p>
          <w:p>
            <w:r>
              <w:br/>
            </w:r>
            <w:r>
              <w:rPr>
                <w:rStyle w:val="row-content"/>
              </w:rPr>
              <w:t xml:space="preserve">Has been superseded by </w:t>
            </w:r>
            <w:hyperlink w:history="true" r:id="R9a8caf14e1854cae">
              <w:r>
                <w:rPr>
                  <w:rStyle w:val="Hyperlink"/>
                </w:rPr>
                <w:t xml:space="preserve">National Indigenous Reform Agreement: PI 13-Attendance rates Year 1 to Year 10, 2014 QS</w:t>
              </w:r>
            </w:hyperlink>
          </w:p>
          <w:p>
            <w:pPr>
              <w:pStyle w:val="registration-status"/>
              <w:spacing w:before="0" w:after="0"/>
            </w:pPr>
            <w:hyperlink w:history="true" r:id="R4b5266ae438a4e4b">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fe2983e1704dfe">
              <w:r>
                <w:rPr>
                  <w:rStyle w:val="Hyperlink"/>
                </w:rPr>
                <w:t xml:space="preserve">National Indigenous Reform Agreement: PI 13-Attendance rates Year 1 to Year 10, 2013</w:t>
              </w:r>
            </w:hyperlink>
          </w:p>
          <w:p>
            <w:pPr>
              <w:pStyle w:val="registration-status"/>
              <w:spacing w:before="0" w:after="0"/>
            </w:pPr>
            <w:hyperlink w:history="true" r:id="R2186c12c795e48a3">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64896d99e3a8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539579cb1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96d99e3a842fe" /><Relationship Type="http://schemas.openxmlformats.org/officeDocument/2006/relationships/header" Target="/word/header1.xml" Id="R53d6f5cbcd21414d" /><Relationship Type="http://schemas.openxmlformats.org/officeDocument/2006/relationships/settings" Target="/word/settings.xml" Id="Re43eb87a09e54ef4" /><Relationship Type="http://schemas.openxmlformats.org/officeDocument/2006/relationships/styles" Target="/word/styles.xml" Id="R357f08bb528149b6" /><Relationship Type="http://schemas.openxmlformats.org/officeDocument/2006/relationships/numbering" Target="/word/numbering.xml" Id="R5e21468fa8fd4f2b" /><Relationship Type="http://schemas.openxmlformats.org/officeDocument/2006/relationships/hyperlink" Target="https://meteor-uat.aihw.gov.au/RegistrationAuthority/9" TargetMode="External" Id="R4a255b030c0544e4" /><Relationship Type="http://schemas.openxmlformats.org/officeDocument/2006/relationships/hyperlink" Target="https://meteor-uat.aihw.gov.au/content/487239" TargetMode="External" Id="R4412fb7a66934beb" /><Relationship Type="http://schemas.openxmlformats.org/officeDocument/2006/relationships/hyperlink" Target="https://meteor-uat.aihw.gov.au/RegistrationAuthority/9" TargetMode="External" Id="R90009538409a4e09" /><Relationship Type="http://schemas.openxmlformats.org/officeDocument/2006/relationships/hyperlink" Target="https://meteor-uat.aihw.gov.au/content/567229" TargetMode="External" Id="R9a8caf14e1854cae" /><Relationship Type="http://schemas.openxmlformats.org/officeDocument/2006/relationships/hyperlink" Target="https://meteor-uat.aihw.gov.au/RegistrationAuthority/9" TargetMode="External" Id="R4b5266ae438a4e4b" /><Relationship Type="http://schemas.openxmlformats.org/officeDocument/2006/relationships/hyperlink" Target="https://meteor-uat.aihw.gov.au/content/484367" TargetMode="External" Id="Ra3fe2983e1704dfe" /><Relationship Type="http://schemas.openxmlformats.org/officeDocument/2006/relationships/hyperlink" Target="https://meteor-uat.aihw.gov.au/RegistrationAuthority/9" TargetMode="External" Id="R2186c12c795e48a3" /></Relationships>
</file>

<file path=word/_rels/header1.xml.rels>&#65279;<?xml version="1.0" encoding="utf-8"?><Relationships xmlns="http://schemas.openxmlformats.org/package/2006/relationships"><Relationship Type="http://schemas.openxmlformats.org/officeDocument/2006/relationships/image" Target="/media/image.png" Id="Rd34539579cb14c8f" /></Relationships>
</file>