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23e29a6574e5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3ed380bab4b2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a8d3a39a84748">
              <w:r>
                <w:rPr>
                  <w:rStyle w:val="Hyperlink"/>
                </w:rPr>
                <w:t xml:space="preserve">National Indigenous Reform Agreement: PI 09-Child under 5 mortality rate (and excess deaths), 2012 QS</w:t>
              </w:r>
            </w:hyperlink>
          </w:p>
          <w:p>
            <w:pPr>
              <w:pStyle w:val="registration-status"/>
              <w:spacing w:before="0" w:after="0"/>
            </w:pPr>
            <w:hyperlink w:history="true" r:id="R49f8680f120c4c0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b113207628d47fd">
              <w:r>
                <w:rPr>
                  <w:rStyle w:val="Hyperlink"/>
                </w:rPr>
                <w:t xml:space="preserve">National Indigenous Reform Agreement: PI 06-Under five mortality rate by leading cause, 2014 QS</w:t>
              </w:r>
            </w:hyperlink>
          </w:p>
          <w:p>
            <w:pPr>
              <w:pStyle w:val="registration-status"/>
              <w:spacing w:before="0" w:after="0"/>
            </w:pPr>
            <w:hyperlink w:history="true" r:id="Rb0ec8b7c2a7d421a">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07d3cd14ca4502">
              <w:r>
                <w:rPr>
                  <w:rStyle w:val="Hyperlink"/>
                </w:rPr>
                <w:t xml:space="preserve">National Indigenous Reform Agreement: PI 06-Under five mortality rate by leading cause, 2013</w:t>
              </w:r>
            </w:hyperlink>
          </w:p>
          <w:p>
            <w:pPr>
              <w:pStyle w:val="registration-status"/>
              <w:spacing w:before="0" w:after="0"/>
            </w:pPr>
            <w:hyperlink w:history="true" r:id="R7f89db6a8c944128">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a602b26ba983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137ea9a38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2b26ba98343f4" /><Relationship Type="http://schemas.openxmlformats.org/officeDocument/2006/relationships/header" Target="/word/header1.xml" Id="R611bfddd26f94023" /><Relationship Type="http://schemas.openxmlformats.org/officeDocument/2006/relationships/settings" Target="/word/settings.xml" Id="R66bb06b96587421e" /><Relationship Type="http://schemas.openxmlformats.org/officeDocument/2006/relationships/styles" Target="/word/styles.xml" Id="R6eff72ba25844da2" /><Relationship Type="http://schemas.openxmlformats.org/officeDocument/2006/relationships/hyperlink" Target="https://meteor-uat.aihw.gov.au/RegistrationAuthority/9" TargetMode="External" Id="R9fc3ed380bab4b28" /><Relationship Type="http://schemas.openxmlformats.org/officeDocument/2006/relationships/hyperlink" Target="https://meteor-uat.aihw.gov.au/content/480306" TargetMode="External" Id="R145a8d3a39a84748" /><Relationship Type="http://schemas.openxmlformats.org/officeDocument/2006/relationships/hyperlink" Target="https://meteor-uat.aihw.gov.au/RegistrationAuthority/9" TargetMode="External" Id="R49f8680f120c4c09" /><Relationship Type="http://schemas.openxmlformats.org/officeDocument/2006/relationships/hyperlink" Target="https://meteor-uat.aihw.gov.au/content/567167" TargetMode="External" Id="R8b113207628d47fd" /><Relationship Type="http://schemas.openxmlformats.org/officeDocument/2006/relationships/hyperlink" Target="https://meteor-uat.aihw.gov.au/RegistrationAuthority/9" TargetMode="External" Id="Rb0ec8b7c2a7d421a" /><Relationship Type="http://schemas.openxmlformats.org/officeDocument/2006/relationships/hyperlink" Target="https://meteor-uat.aihw.gov.au/content/481154" TargetMode="External" Id="R1d07d3cd14ca4502" /><Relationship Type="http://schemas.openxmlformats.org/officeDocument/2006/relationships/hyperlink" Target="https://meteor-uat.aihw.gov.au/RegistrationAuthority/9" TargetMode="External" Id="R7f89db6a8c944128" /></Relationships>
</file>

<file path=word/_rels/header1.xml.rels>&#65279;<?xml version="1.0" encoding="utf-8"?><Relationships xmlns="http://schemas.openxmlformats.org/package/2006/relationships"><Relationship Type="http://schemas.openxmlformats.org/officeDocument/2006/relationships/image" Target="/media/image.png" Id="Rb7c137ea9a38406b" /></Relationships>
</file>