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357bcb410647cb" /></Relationships>
</file>

<file path=word/document.xml><?xml version="1.0" encoding="utf-8"?>
<w:document xmlns:r="http://schemas.openxmlformats.org/officeDocument/2006/relationships" xmlns:w="http://schemas.openxmlformats.org/wordprocessingml/2006/main">
  <w:body>
    <w:p>
      <w:pPr>
        <w:pStyle w:val="Title"/>
      </w:pPr>
      <w:r>
        <w:t>Mode of statistical survey completion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statistical survey completion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226e60b7df42a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by which a statistical survey collection instrument is completed.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Computer assisted personal interviewing (CAPI)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Paper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Computerised self-administered questionnaire (CSAQ)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Computer assisted telephone interviewing (CATI)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Telephone 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Interactive voice response (IVR)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Paper and pencil interviewing (PAPI)</w:t>
            </w:r>
          </w:p>
          <w:p>
            <w:pPr>
              <w:spacing w:after="160"/>
            </w:pPr>
            <w:r>
              <w:rPr>
                <w:rStyle w:val="row-content-rich-text"/>
              </w:rPr>
              <w:t xml:space="preserve">This code describes instances where the interviewer asks the respondent the survey questions and records the responses on a paper form.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2   Computer assisted personal interviewing (CAPI)</w:t>
            </w:r>
          </w:p>
          <w:p>
            <w:pPr>
              <w:spacing w:after="160"/>
            </w:pPr>
            <w:r>
              <w:rPr>
                <w:rStyle w:val="row-content-rich-text"/>
              </w:rPr>
              <w:t xml:space="preserve">This code describes instances where the interviewer takes a portable computer to the interview and enters the data into the computer as the respondent provides it.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3   Paper forms</w:t>
            </w:r>
          </w:p>
          <w:p>
            <w:pPr>
              <w:spacing w:after="160"/>
            </w:pPr>
            <w:r>
              <w:rPr>
                <w:rStyle w:val="row-content-rich-text"/>
              </w:rPr>
              <w:t xml:space="preserve">This code describes instances where forms are mailed, faxed or dropped off to respondents who fill out the forms themselves and return the forms by any of a number of methods.</w:t>
            </w:r>
          </w:p>
          <w:p>
            <w:pPr>
              <w:spacing w:after="160"/>
            </w:pPr>
            <w:r>
              <w:rPr>
                <w:rStyle w:val="row-content-rich-text"/>
              </w:rPr>
              <w:t xml:space="preserve">CODE 4   Computerised self-administered questionnaire (CSAQ)</w:t>
            </w:r>
          </w:p>
          <w:p>
            <w:pPr>
              <w:spacing w:after="160"/>
            </w:pPr>
            <w:r>
              <w:rPr>
                <w:rStyle w:val="row-content-rich-text"/>
              </w:rPr>
              <w:t xml:space="preserve">This code describes instances where respondents complete forms themselves electronically, using a computer. Includes web forms, offline electronic forms and Computer assisted self-administered interview (CASI), where an interviewer visits the respondent with a portable computer containing an electronic version of the questionnaire. The respondent uses the computer to complete the form themselves, rather than being asked the questions by the interviewer.</w:t>
            </w:r>
          </w:p>
          <w:p>
            <w:pPr>
              <w:spacing w:after="160"/>
            </w:pPr>
            <w:r>
              <w:rPr>
                <w:rStyle w:val="row-content-rich-text"/>
              </w:rPr>
              <w:t xml:space="preserve">CODE 5   Computer assisted telephone interviewing (CATI)</w:t>
            </w:r>
          </w:p>
          <w:p>
            <w:pPr>
              <w:spacing w:after="160"/>
            </w:pPr>
            <w:r>
              <w:rPr>
                <w:rStyle w:val="row-content-rich-text"/>
              </w:rPr>
              <w:t xml:space="preserve">This code describes instances where the interviewer reads the survey questions and records the respondent's answers using a computer interface.</w:t>
            </w:r>
          </w:p>
          <w:p>
            <w:pPr>
              <w:spacing w:after="160"/>
            </w:pPr>
            <w:r>
              <w:rPr>
                <w:rStyle w:val="row-content-rich-text"/>
              </w:rPr>
              <w:t xml:space="preserve">CODE 6   Telephone paper and pencil interviewing (PAPI)</w:t>
            </w:r>
          </w:p>
          <w:p>
            <w:pPr>
              <w:spacing w:after="160"/>
            </w:pPr>
            <w:r>
              <w:rPr>
                <w:rStyle w:val="row-content-rich-text"/>
              </w:rPr>
              <w:t xml:space="preserve">This code describes instances where the interviewer reads the survey questions and records the respondent's answers using a paper script or questionnaire.</w:t>
            </w:r>
          </w:p>
          <w:p>
            <w:pPr>
              <w:spacing w:after="160"/>
            </w:pPr>
            <w:r>
              <w:rPr>
                <w:rStyle w:val="row-content-rich-text"/>
              </w:rPr>
              <w:t xml:space="preserve">CODE 7   Interactive voice response (IVR)</w:t>
            </w:r>
          </w:p>
          <w:p>
            <w:pPr>
              <w:spacing w:after="160"/>
            </w:pPr>
            <w:r>
              <w:rPr>
                <w:rStyle w:val="row-content-rich-text"/>
              </w:rPr>
              <w:t xml:space="preserve">This code describes instances where a pre-recorded voice lists a series of options, prompts and questions. The user provides their responses either through a telephone keypad or verbally.</w:t>
            </w:r>
          </w:p>
          <w:p>
            <w:pPr>
              <w:spacing w:after="160"/>
            </w:pPr>
            <w:r>
              <w:rPr>
                <w:rStyle w:val="row-content-rich-text"/>
              </w:rPr>
              <w:t xml:space="preserve">CODE 88   Other</w:t>
            </w:r>
          </w:p>
          <w:p>
            <w:pPr/>
            <w:r>
              <w:rPr>
                <w:rStyle w:val="row-content-rich-text"/>
              </w:rPr>
              <w:t xml:space="preserve">This code denotes instances of survey completion modes other than those modes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2010. ABS Forms Design Standards Manual, ABS cat. no. 1530.0.  Canberra: ABS. Viewed 16 November 2016, </w:t>
            </w:r>
            <w:hyperlink w:history="true" r:id="Rea1bd14d029e4230">
              <w:r>
                <w:rPr>
                  <w:rStyle w:val="Hyperlink"/>
                </w:rPr>
                <w:t xml:space="preserve">http://www.abs.gov.au/ausstats/abs@.nsf/Products/</w:t>
              </w:r>
              <w:r>
                <w:br/>
              </w:r>
              <w:r>
                <w:rPr>
                  <w:rStyle w:val="row-content-rich-text"/>
                </w:rPr>
                <w:t xml:space="preserve">56D1E33DE5DB54E6CA2576B300126987#Modes-of-data-collection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f8e591451146c9">
              <w:r>
                <w:rPr>
                  <w:rStyle w:val="Hyperlink"/>
                </w:rPr>
                <w:t xml:space="preserve">Person—mode of statistical survey completion, code N[N]</w:t>
              </w:r>
            </w:hyperlink>
          </w:p>
          <w:p>
            <w:pPr>
              <w:pStyle w:val="registration-status"/>
              <w:spacing w:before="0" w:after="0"/>
            </w:pPr>
            <w:hyperlink w:history="true" r:id="R6d98e9fa2a094026">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d1a6634dc0db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96abc54c9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6634dc0db489c" /><Relationship Type="http://schemas.openxmlformats.org/officeDocument/2006/relationships/header" Target="/word/header1.xml" Id="R61d5fff69d0a4531" /><Relationship Type="http://schemas.openxmlformats.org/officeDocument/2006/relationships/settings" Target="/word/settings.xml" Id="Rcf519f51b37443fc" /><Relationship Type="http://schemas.openxmlformats.org/officeDocument/2006/relationships/styles" Target="/word/styles.xml" Id="Rdde4c872915b440f" /><Relationship Type="http://schemas.openxmlformats.org/officeDocument/2006/relationships/hyperlink" Target="https://meteor-uat.aihw.gov.au/RegistrationAuthority/14" TargetMode="External" Id="R34226e60b7df42a0" /><Relationship Type="http://schemas.openxmlformats.org/officeDocument/2006/relationships/hyperlink" Target="http://www.abs.gov.au/ausstats/abs@.nsf/Products/56D1E33DE5DB54E6CA2576B300126987#Modes-of-data-collection" TargetMode="External" Id="Rea1bd14d029e4230" /><Relationship Type="http://schemas.openxmlformats.org/officeDocument/2006/relationships/hyperlink" Target="https://meteor-uat.aihw.gov.au/content/521297" TargetMode="External" Id="R3bf8e591451146c9" /><Relationship Type="http://schemas.openxmlformats.org/officeDocument/2006/relationships/hyperlink" Target="https://meteor-uat.aihw.gov.au/RegistrationAuthority/14" TargetMode="External" Id="R6d98e9fa2a094026" /></Relationships>
</file>

<file path=word/_rels/header1.xml.rels>&#65279;<?xml version="1.0" encoding="utf-8"?><Relationships xmlns="http://schemas.openxmlformats.org/package/2006/relationships"><Relationship Type="http://schemas.openxmlformats.org/officeDocument/2006/relationships/image" Target="/media/image.png" Id="R69296abc54c94334" /></Relationships>
</file>